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7 (Financial Difficulties)</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definitions shall apply:</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1"/>
        <w:tblW w:w="8655.0" w:type="dxa"/>
        <w:jc w:val="left"/>
        <w:tblInd w:w="36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685"/>
        <w:gridCol w:w="5970"/>
        <w:tblGridChange w:id="0">
          <w:tblGrid>
            <w:gridCol w:w="2685"/>
            <w:gridCol w:w="5970"/>
          </w:tblGrid>
        </w:tblGridChange>
      </w:tblGrid>
      <w:tr>
        <w:trPr>
          <w:cantSplit w:val="0"/>
          <w:tblHeader w:val="0"/>
        </w:trPr>
        <w:tc>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“Applicable Financial Indicators”</w:t>
            </w:r>
          </w:p>
        </w:tc>
        <w:tc>
          <w:tcPr/>
          <w:p w:rsidR="00000000" w:rsidDel="00000000" w:rsidP="00000000" w:rsidRDefault="00000000" w:rsidRPr="00000000" w14:paraId="00000007">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financial indicators from Paragraph </w:t>
            </w:r>
            <w:r w:rsidDel="00000000" w:rsidR="00000000" w:rsidRPr="00000000">
              <w:rPr>
                <w:rFonts w:ascii="Arial" w:cs="Arial" w:eastAsia="Arial" w:hAnsi="Arial"/>
                <w:b w:val="0"/>
                <w:i w:val="0"/>
                <w:smallCaps w:val="1"/>
                <w:strike w:val="0"/>
                <w:color w:val="000000"/>
                <w:sz w:val="24"/>
                <w:szCs w:val="24"/>
                <w:u w:val="none"/>
                <w:shd w:fill="auto" w:val="clear"/>
                <w:vertAlign w:val="baseline"/>
                <w:rtl w:val="0"/>
              </w:rPr>
              <w:t xml:space="preserve">5.1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this Schedule which are to apply to the Monitored Suppliers as set out in Paragraph 5.2 of this Schedule;</w:t>
            </w:r>
            <w:r w:rsidDel="00000000" w:rsidR="00000000" w:rsidRPr="00000000">
              <w:rPr>
                <w:rtl w:val="0"/>
              </w:rPr>
            </w:r>
          </w:p>
        </w:tc>
      </w:tr>
      <w:tr>
        <w:trPr>
          <w:cantSplit w:val="0"/>
          <w:tblHeader w:val="0"/>
        </w:trPr>
        <w:tc>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Board”</w:t>
            </w:r>
          </w:p>
        </w:tc>
        <w:tc>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Supplier’s board of directors;</w:t>
            </w:r>
          </w:p>
        </w:tc>
      </w:tr>
      <w:tr>
        <w:trPr>
          <w:cantSplit w:val="0"/>
          <w:tblHeader w:val="0"/>
        </w:trPr>
        <w:tc>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“Board Confirmation”</w:t>
            </w:r>
          </w:p>
        </w:tc>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written confirmation from the Board in accordance with Paragraph 8 of this Schedule;</w:t>
            </w:r>
          </w:p>
        </w:tc>
      </w:tr>
      <w:tr>
        <w:trPr>
          <w:cantSplit w:val="0"/>
          <w:tblHeader w:val="0"/>
        </w:trPr>
        <w:tc>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“Bronze Contract”</w:t>
            </w:r>
          </w:p>
        </w:tc>
        <w:tc>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Call-Off Contract categorised as a Bronze contract using the Cabinet Office Contract Tiering Tool;</w:t>
            </w:r>
          </w:p>
        </w:tc>
      </w:tr>
      <w:tr>
        <w:trPr>
          <w:cantSplit w:val="0"/>
          <w:tblHeader w:val="0"/>
        </w:trPr>
        <w:tc>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Cabinet Office Markets and Suppliers Team”</w:t>
            </w:r>
          </w:p>
        </w:tc>
        <w:tc>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UK Government’s team responsible for managing the relationship between government and its Strategic Suppliers, or any replacement or successor body carrying out the same function;</w:t>
            </w:r>
          </w:p>
        </w:tc>
      </w:tr>
      <w:tr>
        <w:trPr>
          <w:cantSplit w:val="0"/>
          <w:tblHeader w:val="0"/>
        </w:trPr>
        <w:tc>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Threshold”</w:t>
            </w:r>
          </w:p>
        </w:tc>
        <w:tc>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minimum credit rating level for each entity in the FDE Group as set out in Annex 1 to this Schedule;</w:t>
            </w:r>
          </w:p>
        </w:tc>
      </w:tr>
      <w:tr>
        <w:trPr>
          <w:cantSplit w:val="0"/>
          <w:tblHeader w:val="0"/>
        </w:trPr>
        <w:tc>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FDE Group”</w:t>
            </w:r>
          </w:p>
        </w:tc>
        <w:tc>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[Supplier, Key Sub-contractors, [the Guarantor] and the [Monitored Suppliers]];</w:t>
            </w:r>
          </w:p>
        </w:tc>
      </w:tr>
      <w:tr>
        <w:trPr>
          <w:cantSplit w:val="0"/>
          <w:tblHeader w:val="0"/>
        </w:trPr>
        <w:tc>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Event”</w:t>
            </w:r>
          </w:p>
        </w:tc>
        <w:tc>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events listed in Paragraph 3.1 of this Schedule;</w:t>
            </w:r>
          </w:p>
        </w:tc>
      </w:tr>
      <w:tr>
        <w:trPr>
          <w:cantSplit w:val="0"/>
          <w:tblHeader w:val="0"/>
        </w:trPr>
        <w:tc>
          <w:tcPr/>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Remediation Plan”</w:t>
            </w:r>
          </w:p>
        </w:tc>
        <w:tc>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 setting out how the Supplier will ensure the continued performance and delivery of the Deliverables in accordance with the Contract in the event that a Financial Distress Event occurs;</w:t>
            </w:r>
          </w:p>
        </w:tc>
      </w:tr>
      <w:tr>
        <w:trPr>
          <w:cantSplit w:val="0"/>
          <w:tblHeader w:val="0"/>
        </w:trPr>
        <w:tc>
          <w:tcPr/>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Indicators”</w:t>
            </w:r>
          </w:p>
        </w:tc>
        <w:tc>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the Supplier, Key Sub-contractors and the Guarantor, means each of the financial indicators set out at paragraph 5.1 of this Schedule and in respect of each Monitored Supplier, means those Applicable Financial Indicators;</w:t>
            </w:r>
          </w:p>
        </w:tc>
      </w:tr>
      <w:tr>
        <w:trPr>
          <w:cantSplit w:val="0"/>
          <w:tblHeader w:val="0"/>
        </w:trPr>
        <w:tc>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 </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Target Thresholds”</w:t>
            </w:r>
          </w:p>
        </w:tc>
        <w:tc>
          <w:tcPr/>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M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target thresholds for each of the Financial Indicators set out at paragraph 5.1 of this Schedule;</w:t>
            </w:r>
          </w:p>
        </w:tc>
      </w:tr>
      <w:tr>
        <w:trPr>
          <w:cantSplit w:val="0"/>
          <w:tblHeader w:val="0"/>
        </w:trPr>
        <w:tc>
          <w:tcPr/>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M “M</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onitored Suppliers”</w:t>
            </w:r>
          </w:p>
        </w:tc>
        <w:tc>
          <w:tcPr/>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M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those entities specified at paragraph 5.2 of this Schedule;</w:t>
            </w:r>
          </w:p>
        </w:tc>
      </w:tr>
      <w:tr>
        <w:trPr>
          <w:cantSplit w:val="0"/>
          <w:tblHeader w:val="0"/>
        </w:trPr>
        <w:tc>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sz w:val="24"/>
                <w:szCs w:val="24"/>
                <w:rtl w:val="0"/>
              </w:rPr>
              <w:t xml:space="preserve">   “R</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ating Agencies”</w:t>
            </w:r>
          </w:p>
        </w:tc>
        <w:tc>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 T 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he rating agencies listed in Annex 1 of this Schedule;</w:t>
            </w:r>
          </w:p>
        </w:tc>
      </w:tr>
      <w:tr>
        <w:trPr>
          <w:cantSplit w:val="0"/>
          <w:tblHeader w:val="0"/>
        </w:trPr>
        <w:tc>
          <w:tcPr/>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sz w:val="24"/>
                <w:szCs w:val="24"/>
                <w:rtl w:val="0"/>
              </w:rPr>
              <w:t xml:space="preserve">   “S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trategic Supplier”</w:t>
            </w:r>
          </w:p>
        </w:tc>
        <w:tc>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those suppliers </w:t>
            </w:r>
            <w:r w:rsidDel="00000000" w:rsidR="00000000" w:rsidRPr="00000000">
              <w:rPr>
                <w:rFonts w:ascii="Arial" w:cs="Arial" w:eastAsia="Arial" w:hAnsi="Arial"/>
                <w:sz w:val="24"/>
                <w:szCs w:val="24"/>
                <w:rtl w:val="0"/>
              </w:rPr>
              <w:t xml:space="preserve">to the government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listed at </w:t>
            </w:r>
            <w:hyperlink r:id="r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https://www.gov.uk/government/publications/strategic-suppliers</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tc>
      </w:tr>
    </w:tbl>
    <w:p w:rsidR="00000000" w:rsidDel="00000000" w:rsidP="00000000" w:rsidRDefault="00000000" w:rsidRPr="00000000" w14:paraId="0000002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Warranties and duty to notify</w:t>
      </w:r>
    </w:p>
    <w:p w:rsidR="00000000" w:rsidDel="00000000" w:rsidP="00000000" w:rsidRDefault="00000000" w:rsidRPr="00000000" w14:paraId="0000002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and represents to the Relevant Authority for the benefit of the Relevant Authority that as at the Effective Date:</w:t>
      </w:r>
    </w:p>
    <w:p w:rsidR="00000000" w:rsidDel="00000000" w:rsidP="00000000" w:rsidRDefault="00000000" w:rsidRPr="00000000" w14:paraId="0000002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1701"/>
        </w:tabs>
        <w:spacing w:after="120" w:before="120" w:line="240" w:lineRule="auto"/>
        <w:ind w:left="1701" w:right="0" w:hanging="76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long term credit ratings issued for each entity in the FDE Group by each of the Rating Agencies are as set out in Annex 2 to this Schedule; and</w:t>
      </w:r>
    </w:p>
    <w:p w:rsidR="00000000" w:rsidDel="00000000" w:rsidP="00000000" w:rsidRDefault="00000000" w:rsidRPr="00000000" w14:paraId="0000002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1701"/>
        </w:tabs>
        <w:spacing w:after="120" w:before="120" w:line="240" w:lineRule="auto"/>
        <w:ind w:left="1701" w:right="0" w:hanging="76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financial position or, as appropriate, the financial performance of each of the Supplier, Guarantor and Key Sub-contractors satisfies the Financial Target Thresholds.</w:t>
      </w:r>
    </w:p>
    <w:p w:rsidR="00000000" w:rsidDel="00000000" w:rsidP="00000000" w:rsidRDefault="00000000" w:rsidRPr="00000000" w14:paraId="0000002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notify (or shall procure that its auditors promptly notify) the Relevant Authority in writing if there is any downgrade in the credit rating issued by any Rating Agency for any entity in the FDE Group (and in any event within 5 Working Days of the occurrence of the downgrade).</w:t>
      </w:r>
    </w:p>
    <w:p w:rsidR="00000000" w:rsidDel="00000000" w:rsidP="00000000" w:rsidRDefault="00000000" w:rsidRPr="00000000" w14:paraId="0000002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2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1701"/>
        </w:tabs>
        <w:spacing w:after="120" w:before="120" w:line="240" w:lineRule="auto"/>
        <w:ind w:left="1701" w:right="0" w:hanging="76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regularly monitor the credit ratings of each entity in the FDE Group with the Rating Agencies;</w:t>
      </w:r>
    </w:p>
    <w:p w:rsidR="00000000" w:rsidDel="00000000" w:rsidP="00000000" w:rsidRDefault="00000000" w:rsidRPr="00000000" w14:paraId="0000002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1701"/>
        </w:tabs>
        <w:spacing w:after="120" w:before="120" w:line="240" w:lineRule="auto"/>
        <w:ind w:left="1701" w:right="0" w:hanging="76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 and report on the Financial Indicators for each entity in the FDE Group against the Financial Target Thresholds at least at the frequency set out for each at Paragraph 5.1 of this Joint Schedule 7 (where specified) and in any event, on a regular basis and no less than once a year within ninety (90) days after the Accounting Reference Date; and</w:t>
      </w:r>
    </w:p>
    <w:p w:rsidR="00000000" w:rsidDel="00000000" w:rsidP="00000000" w:rsidRDefault="00000000" w:rsidRPr="00000000" w14:paraId="0000002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1701"/>
        </w:tabs>
        <w:spacing w:after="120" w:before="120" w:line="240" w:lineRule="auto"/>
        <w:ind w:left="1701" w:right="0" w:hanging="76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000000" w:rsidDel="00000000" w:rsidP="00000000" w:rsidRDefault="00000000" w:rsidRPr="00000000" w14:paraId="0000002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determining whether a Financial Distress Event has occurred pursuant to the provisions of Paragraphs 3.1 of this Joint Schedule 7, and for the purposes of determining relief under Paragraph 7.1 of this Joint Schedule 7, the credit rating of an FDE Group entity shall be deemed to have dropped below the applicable Credit Rating Threshold if any of the Rating Agencies have rated that entity at or below the applicable Credit Rating Threshold.</w:t>
      </w:r>
    </w:p>
    <w:p w:rsidR="00000000" w:rsidDel="00000000" w:rsidP="00000000" w:rsidRDefault="00000000" w:rsidRPr="00000000" w14:paraId="0000002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report submitted by the Supplier pursuant to Paragraph 2.3.2 of this Joint Schedule 7 shall:</w:t>
      </w:r>
    </w:p>
    <w:p w:rsidR="00000000" w:rsidDel="00000000" w:rsidP="00000000" w:rsidRDefault="00000000" w:rsidRPr="00000000" w14:paraId="0000002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1701"/>
        </w:tabs>
        <w:spacing w:after="120" w:before="120" w:line="240" w:lineRule="auto"/>
        <w:ind w:left="1701" w:right="0" w:hanging="76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 single report with separate sections for each of the FDE Group entities;</w:t>
      </w:r>
    </w:p>
    <w:p w:rsidR="00000000" w:rsidDel="00000000" w:rsidP="00000000" w:rsidRDefault="00000000" w:rsidRPr="00000000" w14:paraId="0000002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1701"/>
        </w:tabs>
        <w:spacing w:after="120" w:before="120" w:line="240" w:lineRule="auto"/>
        <w:ind w:left="1701" w:right="0" w:hanging="76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contain a sufficient level of information to enable the Relevant Authority to verify the calculations that have been made in respect of the Financial Indicators;</w:t>
      </w:r>
    </w:p>
    <w:p w:rsidR="00000000" w:rsidDel="00000000" w:rsidP="00000000" w:rsidRDefault="00000000" w:rsidRPr="00000000" w14:paraId="0000002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1701"/>
        </w:tabs>
        <w:spacing w:after="120" w:before="120" w:line="240" w:lineRule="auto"/>
        <w:ind w:left="1701" w:right="0" w:hanging="76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key financial and other supporting information (including any accounts data that has been relied on) as separate annexes;</w:t>
      </w:r>
    </w:p>
    <w:p w:rsidR="00000000" w:rsidDel="00000000" w:rsidP="00000000" w:rsidRDefault="00000000" w:rsidRPr="00000000" w14:paraId="0000003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1701"/>
        </w:tabs>
        <w:spacing w:after="120" w:before="120" w:line="240" w:lineRule="auto"/>
        <w:ind w:left="1701" w:right="0" w:hanging="76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 and</w:t>
      </w:r>
    </w:p>
    <w:p w:rsidR="00000000" w:rsidDel="00000000" w:rsidP="00000000" w:rsidRDefault="00000000" w:rsidRPr="00000000" w14:paraId="0000003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1701"/>
        </w:tabs>
        <w:spacing w:after="120" w:before="120" w:line="240" w:lineRule="auto"/>
        <w:ind w:left="1701" w:right="0" w:hanging="76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a history of the Financial Indicators reported by the Supplier in graph form to enable the Relevant Authority to easily analyse and assess the trends in financial performance.</w:t>
      </w:r>
    </w:p>
    <w:p w:rsidR="00000000" w:rsidDel="00000000" w:rsidP="00000000" w:rsidRDefault="00000000" w:rsidRPr="00000000" w14:paraId="0000003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Financial Distress events</w:t>
      </w:r>
    </w:p>
    <w:p w:rsidR="00000000" w:rsidDel="00000000" w:rsidP="00000000" w:rsidRDefault="00000000" w:rsidRPr="00000000" w14:paraId="0000003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following shall be Financial Distress Events:</w:t>
      </w:r>
    </w:p>
    <w:p w:rsidR="00000000" w:rsidDel="00000000" w:rsidP="00000000" w:rsidRDefault="00000000" w:rsidRPr="00000000" w14:paraId="0000003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1701"/>
        </w:tabs>
        <w:spacing w:after="120" w:before="120" w:line="240" w:lineRule="auto"/>
        <w:ind w:left="1701" w:right="0" w:hanging="76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credit rating of an FDE Group entity dropping below the applicable Credit Rating Threshold;</w:t>
      </w:r>
    </w:p>
    <w:p w:rsidR="00000000" w:rsidDel="00000000" w:rsidP="00000000" w:rsidRDefault="00000000" w:rsidRPr="00000000" w14:paraId="0000003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1701"/>
        </w:tabs>
        <w:spacing w:after="120" w:before="120" w:line="240" w:lineRule="auto"/>
        <w:ind w:left="1701" w:right="0" w:hanging="76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FDE Group entity issuing a profits warning to a stock exchange or making any other public announcement, in each case about a material deterioration in its financial position or prospects;</w:t>
      </w:r>
    </w:p>
    <w:p w:rsidR="00000000" w:rsidDel="00000000" w:rsidP="00000000" w:rsidRDefault="00000000" w:rsidRPr="00000000" w14:paraId="0000003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1701"/>
        </w:tabs>
        <w:spacing w:after="120" w:before="120" w:line="240" w:lineRule="auto"/>
        <w:ind w:left="1701" w:right="0" w:hanging="76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being a public investigation into improper financial accounting and reporting, suspected fraud or any other impropriety of an FDE Group entity;</w:t>
      </w:r>
    </w:p>
    <w:p w:rsidR="00000000" w:rsidDel="00000000" w:rsidP="00000000" w:rsidRDefault="00000000" w:rsidRPr="00000000" w14:paraId="0000003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1701"/>
        </w:tabs>
        <w:spacing w:after="120" w:before="120" w:line="240" w:lineRule="auto"/>
        <w:ind w:left="1701" w:right="0" w:hanging="76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FDE Group entity committing a material breach of covenant to its lenders;</w:t>
      </w:r>
    </w:p>
    <w:p w:rsidR="00000000" w:rsidDel="00000000" w:rsidP="00000000" w:rsidRDefault="00000000" w:rsidRPr="00000000" w14:paraId="0000003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1701"/>
        </w:tabs>
        <w:spacing w:after="120" w:before="120" w:line="240" w:lineRule="auto"/>
        <w:ind w:left="1701" w:right="0" w:hanging="76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Key Sub-contractor notifying CCS or the Buyer that the Supplier has not satisfied any material sums properly due under a specified invoice and not subject to a genuine dispute;</w:t>
      </w:r>
    </w:p>
    <w:p w:rsidR="00000000" w:rsidDel="00000000" w:rsidP="00000000" w:rsidRDefault="00000000" w:rsidRPr="00000000" w14:paraId="0000003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1701"/>
        </w:tabs>
        <w:spacing w:after="120" w:before="120" w:line="240" w:lineRule="auto"/>
        <w:ind w:left="1701" w:right="0" w:hanging="76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following:</w:t>
      </w:r>
    </w:p>
    <w:p w:rsidR="00000000" w:rsidDel="00000000" w:rsidP="00000000" w:rsidRDefault="00000000" w:rsidRPr="00000000" w14:paraId="0000003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268" w:right="0" w:hanging="56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commencement of any litigation against an FDE Group entity with respect to financial indebtedness greater than £5m or obligations under a service contract with a total contract value greater than £5m; </w:t>
      </w:r>
    </w:p>
    <w:p w:rsidR="00000000" w:rsidDel="00000000" w:rsidP="00000000" w:rsidRDefault="00000000" w:rsidRPr="00000000" w14:paraId="0000003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268" w:right="0" w:hanging="56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non-payment by an FDE Group entity of any financial indebtedness;</w:t>
      </w:r>
    </w:p>
    <w:p w:rsidR="00000000" w:rsidDel="00000000" w:rsidP="00000000" w:rsidRDefault="00000000" w:rsidRPr="00000000" w14:paraId="0000003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268" w:right="0" w:hanging="56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financial indebtedness of an FDE Group entity becoming due as a result of an event of default;</w:t>
      </w:r>
    </w:p>
    <w:p w:rsidR="00000000" w:rsidDel="00000000" w:rsidP="00000000" w:rsidRDefault="00000000" w:rsidRPr="00000000" w14:paraId="0000003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268" w:right="0" w:hanging="56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cancellation or suspension of any financial indebtedness in respect of an FDE Group entity; or</w:t>
      </w:r>
    </w:p>
    <w:p w:rsidR="00000000" w:rsidDel="00000000" w:rsidP="00000000" w:rsidRDefault="00000000" w:rsidRPr="00000000" w14:paraId="0000003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268" w:right="0" w:hanging="56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external auditor of an FDE Group entity expressing a qualified opinion on, or including an emphasis of matter in, its opinion on the statutory accounts of that FDE entity;</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1701"/>
        </w:tabs>
        <w:spacing w:after="120" w:before="120" w:line="240" w:lineRule="auto"/>
        <w:ind w:left="1701"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each case which the Relevant Authority reasonably believes (or would be likely reasonably to believe) could directly impact on the continued performance and delivery of the Deliverables in accordance with the Contract; and</w:t>
      </w:r>
    </w:p>
    <w:p w:rsidR="00000000" w:rsidDel="00000000" w:rsidP="00000000" w:rsidRDefault="00000000" w:rsidRPr="00000000" w14:paraId="0000004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1701"/>
        </w:tabs>
        <w:spacing w:after="120" w:before="120" w:line="240" w:lineRule="auto"/>
        <w:ind w:left="1701" w:right="0" w:hanging="76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[one] of the Financial Indicators set out at Paragraph 5 of this Joint Schedule 7 for any of the FDE Group entities failing to meet the required Financial Target Threshold.</w:t>
      </w:r>
    </w:p>
    <w:p w:rsidR="00000000" w:rsidDel="00000000" w:rsidP="00000000" w:rsidRDefault="00000000" w:rsidRPr="00000000" w14:paraId="00000041">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0"/>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Consequences</w:t>
      </w:r>
      <w:r w:rsidDel="00000000" w:rsidR="00000000" w:rsidRPr="00000000">
        <w:rPr>
          <w:rFonts w:ascii="Arial Bold" w:cs="Arial Bold" w:eastAsia="Arial Bold" w:hAnsi="Arial Bold"/>
          <w:b w:val="0"/>
          <w:i w:val="0"/>
          <w:smallCaps w:val="0"/>
          <w:strike w:val="0"/>
          <w:color w:val="000000"/>
          <w:sz w:val="24"/>
          <w:szCs w:val="24"/>
          <w:u w:val="none"/>
          <w:shd w:fill="auto" w:val="clear"/>
          <w:vertAlign w:val="baseline"/>
          <w:rtl w:val="0"/>
        </w:rPr>
        <w:t xml:space="preserve"> of Financial Distress Events</w:t>
      </w:r>
      <w:r w:rsidDel="00000000" w:rsidR="00000000" w:rsidRPr="00000000">
        <w:rPr>
          <w:rtl w:val="0"/>
        </w:rPr>
      </w:r>
    </w:p>
    <w:p w:rsidR="00000000" w:rsidDel="00000000" w:rsidP="00000000" w:rsidRDefault="00000000" w:rsidRPr="00000000" w14:paraId="0000004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Immediately upon notification by the Supplier of a Financial Distress Event (or if the Relevant Authority becomes aware of a Financial Distress Event without notification and brings the event to the attention of the Supplier), the Supplier shall have the obligations and the Relevant Authority shall have the rights and remedies as set out in Paragraphs 4.3 to 4.6 of this Joint Schedule 7.</w:t>
      </w:r>
    </w:p>
    <w:p w:rsidR="00000000" w:rsidDel="00000000" w:rsidP="00000000" w:rsidRDefault="00000000" w:rsidRPr="00000000" w14:paraId="0000004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 late or non-payment of a Key Sub-contractor pursuant to Paragraph 3.1.5 of this Joint Schedule 7, the Relevant Authority shall not exercise any of its rights or remedies under Paragraph 4.3 of this Joint Schedule 7 without first giving the Supplier 10 Working Days to:</w:t>
      </w:r>
    </w:p>
    <w:p w:rsidR="00000000" w:rsidDel="00000000" w:rsidP="00000000" w:rsidRDefault="00000000" w:rsidRPr="00000000" w14:paraId="0000004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1701"/>
        </w:tabs>
        <w:spacing w:after="120" w:before="120" w:line="240" w:lineRule="auto"/>
        <w:ind w:left="1701" w:right="0" w:hanging="76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rectify such late or non-payment; or</w:t>
      </w:r>
    </w:p>
    <w:p w:rsidR="00000000" w:rsidDel="00000000" w:rsidP="00000000" w:rsidRDefault="00000000" w:rsidRPr="00000000" w14:paraId="0000004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1701"/>
        </w:tabs>
        <w:spacing w:after="120" w:before="120" w:line="240" w:lineRule="auto"/>
        <w:ind w:left="1701" w:right="0" w:hanging="76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demonstrate to the Relevant Authority’s reasonable satisfaction that there is a valid reason for late or non-payment.</w:t>
      </w:r>
    </w:p>
    <w:p w:rsidR="00000000" w:rsidDel="00000000" w:rsidP="00000000" w:rsidRDefault="00000000" w:rsidRPr="00000000" w14:paraId="0000004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any Monitored Supplier, the Guarantor and/or any relevant Key Sub-contractor shall):</w:t>
      </w:r>
    </w:p>
    <w:p w:rsidR="00000000" w:rsidDel="00000000" w:rsidP="00000000" w:rsidRDefault="00000000" w:rsidRPr="00000000" w14:paraId="0000004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1701"/>
        </w:tabs>
        <w:spacing w:after="120" w:before="120" w:line="240" w:lineRule="auto"/>
        <w:ind w:left="1701" w:right="0" w:hanging="76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request of the Relevant Authority, meet the Relevant Authority as soon as reasonably practicable (and in any event within 3 Working Days of the initial notification (or awareness) of the Financial Distress Event or such other period as the Relevant Authority may permit and notify to the Supplier in writing) to review the effect of the Financial Distress Event on the continued performance and delivery of the Services in accordance with the Contract; and</w:t>
      </w:r>
    </w:p>
    <w:p w:rsidR="00000000" w:rsidDel="00000000" w:rsidP="00000000" w:rsidRDefault="00000000" w:rsidRPr="00000000" w14:paraId="0000004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1701"/>
        </w:tabs>
        <w:spacing w:after="120" w:before="120" w:line="240" w:lineRule="auto"/>
        <w:ind w:left="1701" w:right="0" w:hanging="76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Relevant Authority reasonably believes (taking into account the discussions and any representations made under Paragraph 4.3.1 of this Joint Schedule 7 that the Financial Distress Event could impact on the continued performance and delivery of the Deliverables in accordance with the Contract:</w:t>
      </w:r>
    </w:p>
    <w:p w:rsidR="00000000" w:rsidDel="00000000" w:rsidP="00000000" w:rsidRDefault="00000000" w:rsidRPr="00000000" w14:paraId="0000004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268" w:right="0" w:hanging="56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submit to the Relevant Authority for its approval, a draft Financial Distress Remediation Plan as soon as reasonably practicable (and in any event, within 10 Working Days of the initial notification (or awareness) of the Financial Distress Event or such other period as the Relevant Authority may permit and notify to the Supplier in writing); and</w:t>
      </w:r>
    </w:p>
    <w:p w:rsidR="00000000" w:rsidDel="00000000" w:rsidP="00000000" w:rsidRDefault="00000000" w:rsidRPr="00000000" w14:paraId="0000004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268" w:right="0" w:hanging="56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the extent that it is legally permitted to do so and subject to Paragraph 4.8 of this Joint Schedule 7, provide such information relating to the Supplier, any Monitored Supplier, Key Sub-contractors and/or the Guarantor as the Buyer may reasonably require in order to understand the risk to the Deliverables, which may include forecasts in relation to cash flow, orders and profits and details of financial measures being considered to mitigate the impact of the Financial Distress Event.</w:t>
      </w:r>
    </w:p>
    <w:p w:rsidR="00000000" w:rsidDel="00000000" w:rsidP="00000000" w:rsidRDefault="00000000" w:rsidRPr="00000000" w14:paraId="0000004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shall not withhold its approval of a draft Financial Distress Remediation Plan unreasonably. If the Relevant Authority does not approve the draft Financial Distress Remediation Plan, it shall inform the Supplier of its reasons and the Supplier shall take those reasons into account in the preparation of a further draft Financial Distress Remediation Plan, which shall be resubmitted to the Relevant Authority within 5 Working Days of the rejection of the first draft. This process shall be repeated until the Financial Distress Remediation Plan is approved by the Relevant Authority or referred to the Dispute Resolution Procedure set out in Clause 34 of the Core Terms under Paragraph 4.5 of this Joint Schedule 7.</w:t>
      </w:r>
    </w:p>
    <w:p w:rsidR="00000000" w:rsidDel="00000000" w:rsidP="00000000" w:rsidRDefault="00000000" w:rsidRPr="00000000" w14:paraId="0000004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Relevant Authority considers that the draft Financial Distress Remediation Plan is insufficiently detailed to be properly evaluated, will take too long to complete or will not ensure the continued performance of the Supplier’s obligations in accordance with the Contract, then it may either agree a further time period for the development and agreement of the Financial Distress Remediation Plan or escalate any issues with the draft Financial Distress Remediation Plan using the Dispute Resolution Procedure in Clause 34 of the Core Terms.</w:t>
      </w:r>
    </w:p>
    <w:p w:rsidR="00000000" w:rsidDel="00000000" w:rsidP="00000000" w:rsidRDefault="00000000" w:rsidRPr="00000000" w14:paraId="0000004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approval of the Financial Distress Remediation Plan by the Relevant Authority, the Supplier shall:</w:t>
      </w:r>
    </w:p>
    <w:p w:rsidR="00000000" w:rsidDel="00000000" w:rsidP="00000000" w:rsidRDefault="00000000" w:rsidRPr="00000000" w14:paraId="0000004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1701"/>
        </w:tabs>
        <w:spacing w:after="120" w:before="120" w:line="240" w:lineRule="auto"/>
        <w:ind w:left="1701" w:right="0" w:hanging="76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a regular basis (which shall not be less than fortnightly):</w:t>
      </w:r>
    </w:p>
    <w:p w:rsidR="00000000" w:rsidDel="00000000" w:rsidP="00000000" w:rsidRDefault="00000000" w:rsidRPr="00000000" w14:paraId="0000004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268" w:right="0" w:hanging="56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and make any updates to the Financial Distress Remediation Plan as the Supplier may deem reasonably necessary and/or as may be reasonably requested by the Relevant Authority, so that the plan remains adequate, up to date and ensures the continued performance and delivery of the Deliverables in accordance with this Contract; and</w:t>
      </w:r>
    </w:p>
    <w:p w:rsidR="00000000" w:rsidDel="00000000" w:rsidP="00000000" w:rsidRDefault="00000000" w:rsidRPr="00000000" w14:paraId="0000005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268" w:right="0" w:hanging="56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written report to the Relevant Authority setting out its progress against the Financial Distress Remediation Plan, the reasons for any changes made to the Financial Distress Remediation Plan by the Supplier and/or the reasons why the Supplier may have decided not to make any changes;</w:t>
      </w:r>
    </w:p>
    <w:p w:rsidR="00000000" w:rsidDel="00000000" w:rsidP="00000000" w:rsidRDefault="00000000" w:rsidRPr="00000000" w14:paraId="0000005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1701"/>
        </w:tabs>
        <w:spacing w:after="120" w:before="120" w:line="240" w:lineRule="auto"/>
        <w:ind w:left="1701" w:right="0" w:hanging="76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updates are made to the Financial Distress Remediation Plan in accordance with Paragraph 4.6.1 of this Joint Schedule 7, submit an updated Financial Distress Remediation Plan to the Relevant Authority for its approval, and the provisions of Paragraphs 4.4 and 4.5 of this Joint Schedule 7 shall apply to the review and approval process for the updated Financial Distress Remediation Plan; and</w:t>
      </w:r>
    </w:p>
    <w:p w:rsidR="00000000" w:rsidDel="00000000" w:rsidP="00000000" w:rsidRDefault="00000000" w:rsidRPr="00000000" w14:paraId="0000005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1701"/>
        </w:tabs>
        <w:spacing w:after="120" w:before="120" w:line="240" w:lineRule="auto"/>
        <w:ind w:left="1701" w:right="0" w:hanging="76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Financial Distress Remediation Plan (including any updated Financial Distress Remediation Plan) and ensure that it achieves the financial and performance requirements set out in the Financial Distress Remediation Plan.</w:t>
      </w:r>
    </w:p>
    <w:p w:rsidR="00000000" w:rsidDel="00000000" w:rsidP="00000000" w:rsidRDefault="00000000" w:rsidRPr="00000000" w14:paraId="0000005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reasonably believes that the relevant Financial Distress Event under Paragraph 4.1 of this Joint Schedule 7  (or the circumstance or matter which has caused or otherwise led to it) no longer exists, it shall notify the Relevant Authority and the Parties may agree that the Supplier shall be relieved of its obligations under Paragraph 4.6 of this Joint Schedule 7.</w:t>
      </w:r>
    </w:p>
    <w:p w:rsidR="00000000" w:rsidDel="00000000" w:rsidP="00000000" w:rsidRDefault="00000000" w:rsidRPr="00000000" w14:paraId="0000005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reasonable endeavours to put in place the necessary measures to ensure that the information specified at paragraph 4.3.2(b) of this Joint Schedule 7 is available when required and on request from the Relevant Authority and within reasonable timescales. Such measures may include:</w:t>
      </w:r>
    </w:p>
    <w:p w:rsidR="00000000" w:rsidDel="00000000" w:rsidP="00000000" w:rsidRDefault="00000000" w:rsidRPr="00000000" w14:paraId="0000005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1701"/>
        </w:tabs>
        <w:spacing w:after="120" w:before="120" w:line="240" w:lineRule="auto"/>
        <w:ind w:left="1701" w:right="0" w:hanging="76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obtaining in advance written authority from Key Sub-contractors, the Guarantor and/or Monitored Suppliers authorising the disclosure of the information to the Buyer and/or entering into confidentiality agreements which permit disclosure;</w:t>
      </w:r>
    </w:p>
    <w:p w:rsidR="00000000" w:rsidDel="00000000" w:rsidP="00000000" w:rsidRDefault="00000000" w:rsidRPr="00000000" w14:paraId="0000005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1701"/>
        </w:tabs>
        <w:spacing w:after="120" w:before="120" w:line="240" w:lineRule="auto"/>
        <w:ind w:left="1701" w:right="0" w:hanging="76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agreeing in advance with the Relevant Authority, Key Sub-contractors, the Guarantor and/or Monitored Suppliers a form of confidentiality agreement to be entered by the relevant parties to enable the disclosure of the information to the Relevant Authority;</w:t>
      </w:r>
    </w:p>
    <w:p w:rsidR="00000000" w:rsidDel="00000000" w:rsidP="00000000" w:rsidRDefault="00000000" w:rsidRPr="00000000" w14:paraId="0000005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1701"/>
        </w:tabs>
        <w:spacing w:after="120" w:before="120" w:line="240" w:lineRule="auto"/>
        <w:ind w:left="1701" w:right="0" w:hanging="76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putting in place any other reasonable arrangements to enable the information to be lawfully disclosed to the Relevant Authority (which may include making price sensitive information available to the Relevant Authority’s nominated personnel through confidential arrangements, subject to their consent); and</w:t>
      </w:r>
    </w:p>
    <w:p w:rsidR="00000000" w:rsidDel="00000000" w:rsidP="00000000" w:rsidRDefault="00000000" w:rsidRPr="00000000" w14:paraId="0000005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1701"/>
        </w:tabs>
        <w:spacing w:after="120" w:before="120" w:line="240" w:lineRule="auto"/>
        <w:ind w:left="1701" w:right="0" w:hanging="76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disclosing the information to the fullest extent that it is lawfully entitled to do so, including through the use of redaction, anonymisation and any other techniques to permit disclosure of the information without breaching a duty of confidentiality.</w:t>
      </w:r>
    </w:p>
    <w:p w:rsidR="00000000" w:rsidDel="00000000" w:rsidP="00000000" w:rsidRDefault="00000000" w:rsidRPr="00000000" w14:paraId="00000059">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Financial Indicators</w:t>
      </w:r>
    </w:p>
    <w:p w:rsidR="00000000" w:rsidDel="00000000" w:rsidP="00000000" w:rsidRDefault="00000000" w:rsidRPr="00000000" w14:paraId="0000005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calculation methodology set out at Annex 3 of this Schedule, the Financial Indicators and the corresponding calculations and thresholds used to determine whether a Financial Distress Event has occurred in respect of those Financial Indicators, shall be as follows:</w:t>
      </w:r>
    </w:p>
    <w:tbl>
      <w:tblPr>
        <w:tblStyle w:val="Table2"/>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3"/>
        <w:gridCol w:w="1977"/>
        <w:gridCol w:w="1697"/>
        <w:gridCol w:w="3089"/>
        <w:tblGridChange w:id="0">
          <w:tblGrid>
            <w:gridCol w:w="2253"/>
            <w:gridCol w:w="1977"/>
            <w:gridCol w:w="1697"/>
            <w:gridCol w:w="3089"/>
          </w:tblGrid>
        </w:tblGridChange>
      </w:tblGrid>
      <w:tr>
        <w:trPr>
          <w:cantSplit w:val="0"/>
          <w:tblHeader w:val="0"/>
        </w:trPr>
        <w:tc>
          <w:tcPr>
            <w:shd w:fill="d9d9d9" w:val="clear"/>
            <w:vAlign w:val="center"/>
          </w:tcPr>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Financial Indicator</w:t>
            </w:r>
          </w:p>
        </w:tc>
        <w:tc>
          <w:tcPr>
            <w:shd w:fill="d9d9d9" w:val="clear"/>
            <w:vAlign w:val="center"/>
          </w:tcPr>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Calculation1</w:t>
            </w:r>
          </w:p>
        </w:tc>
        <w:tc>
          <w:tcPr>
            <w:shd w:fill="d9d9d9" w:val="clear"/>
            <w:vAlign w:val="center"/>
          </w:tcPr>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Financial Target Threshold:</w:t>
            </w:r>
          </w:p>
        </w:tc>
        <w:tc>
          <w:tcPr>
            <w:shd w:fill="d9d9d9" w:val="clear"/>
            <w:vAlign w:val="center"/>
          </w:tcPr>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sz w:val="24"/>
                <w:szCs w:val="24"/>
              </w:rPr>
            </w:pPr>
            <w:bookmarkStart w:colFirst="0" w:colLast="0" w:name="_heading=h.3dy6vkm" w:id="0"/>
            <w:bookmarkEnd w:id="0"/>
            <w:r w:rsidDel="00000000" w:rsidR="00000000" w:rsidRPr="00000000">
              <w:rPr>
                <w:rFonts w:ascii="Arial" w:cs="Arial" w:eastAsia="Arial" w:hAnsi="Arial"/>
                <w:sz w:val="24"/>
                <w:szCs w:val="24"/>
                <w:rtl w:val="0"/>
              </w:rPr>
              <w:t xml:space="preserve">Monitoring and Reporting Frequency [if different from the default position set out in Paragraph 2.3(b)]</w:t>
            </w:r>
          </w:p>
        </w:tc>
      </w:tr>
      <w:tr>
        <w:trPr>
          <w:cantSplit w:val="0"/>
          <w:tblHeader w:val="0"/>
        </w:trPr>
        <w:tc>
          <w:tcPr>
            <w:vAlign w:val="center"/>
          </w:tcPr>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highlight w:val="white"/>
                <w:u w:val="none"/>
                <w:vertAlign w:val="baseline"/>
              </w:rPr>
            </w:pPr>
            <w:r w:rsidDel="00000000" w:rsidR="00000000" w:rsidRPr="00000000">
              <w:rPr>
                <w:rFonts w:ascii="Arial" w:cs="Arial" w:eastAsia="Arial" w:hAnsi="Arial"/>
                <w:b w:val="1"/>
                <w:i w:val="0"/>
                <w:smallCaps w:val="0"/>
                <w:strike w:val="0"/>
                <w:color w:val="000000"/>
                <w:sz w:val="24"/>
                <w:szCs w:val="24"/>
                <w:highlight w:val="white"/>
                <w:u w:val="none"/>
                <w:vertAlign w:val="baseline"/>
                <w:rtl w:val="0"/>
              </w:rPr>
              <w:t xml:space="preserve">1</w:t>
            </w:r>
          </w:p>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highlight w:val="white"/>
                <w:u w:val="none"/>
                <w:vertAlign w:val="baseline"/>
              </w:rPr>
            </w:pPr>
            <w:r w:rsidDel="00000000" w:rsidR="00000000" w:rsidRPr="00000000">
              <w:rPr>
                <w:rFonts w:ascii="Arial" w:cs="Arial" w:eastAsia="Arial" w:hAnsi="Arial"/>
                <w:b w:val="1"/>
                <w:i w:val="0"/>
                <w:smallCaps w:val="0"/>
                <w:strike w:val="0"/>
                <w:color w:val="000000"/>
                <w:sz w:val="24"/>
                <w:szCs w:val="24"/>
                <w:highlight w:val="white"/>
                <w:u w:val="none"/>
                <w:vertAlign w:val="baseline"/>
                <w:rtl w:val="0"/>
              </w:rPr>
              <w:t xml:space="preserve">Operating Margin</w:t>
            </w:r>
          </w:p>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highlight w:val="white"/>
                <w:u w:val="none"/>
                <w:vertAlign w:val="baseline"/>
              </w:rPr>
            </w:pPr>
            <w:r w:rsidDel="00000000" w:rsidR="00000000" w:rsidRPr="00000000">
              <w:rPr>
                <w:rFonts w:ascii="Arial" w:cs="Arial" w:eastAsia="Arial" w:hAnsi="Arial"/>
                <w:b w:val="1"/>
                <w:i w:val="0"/>
                <w:smallCaps w:val="0"/>
                <w:strike w:val="0"/>
                <w:color w:val="000000"/>
                <w:sz w:val="24"/>
                <w:szCs w:val="24"/>
                <w:highlight w:val="white"/>
                <w:u w:val="none"/>
                <w:vertAlign w:val="baseline"/>
                <w:rtl w:val="0"/>
              </w:rPr>
              <w:t xml:space="preserve">OR</w:t>
            </w:r>
          </w:p>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highlight w:val="white"/>
                <w:u w:val="none"/>
                <w:vertAlign w:val="baseline"/>
              </w:rPr>
            </w:pPr>
            <w:r w:rsidDel="00000000" w:rsidR="00000000" w:rsidRPr="00000000">
              <w:rPr>
                <w:rFonts w:ascii="Arial" w:cs="Arial" w:eastAsia="Arial" w:hAnsi="Arial"/>
                <w:b w:val="1"/>
                <w:i w:val="0"/>
                <w:smallCaps w:val="0"/>
                <w:strike w:val="0"/>
                <w:color w:val="000000"/>
                <w:sz w:val="24"/>
                <w:szCs w:val="24"/>
                <w:highlight w:val="white"/>
                <w:u w:val="none"/>
                <w:vertAlign w:val="baseline"/>
                <w:rtl w:val="0"/>
              </w:rPr>
              <w:t xml:space="preserve">The higher of (a) the Operating Margin for the most recent 12 month period and (b) the average Operating Margin for the last two 12 month periods</w:t>
            </w:r>
          </w:p>
        </w:tc>
        <w:tc>
          <w:tcPr>
            <w:vAlign w:val="center"/>
          </w:tcPr>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Operating Margin = Operating Profit / Revenue</w:t>
            </w:r>
          </w:p>
        </w:tc>
        <w:tc>
          <w:tcPr>
            <w:vAlign w:val="center"/>
          </w:tcPr>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Lots 1 &amp; 2:</w:t>
            </w:r>
          </w:p>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&gt;5%</w:t>
            </w:r>
          </w:p>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Lots 3 &amp; 4:</w:t>
            </w:r>
          </w:p>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N/A</w:t>
            </w:r>
          </w:p>
        </w:tc>
        <w:tc>
          <w:tcPr>
            <w:vAlign w:val="center"/>
          </w:tcPr>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Tested and reported yearly  in arrears within 120 days of each accounting reference date based upon figures for the 12 months ending on the relevant accounting reference date </w:t>
            </w:r>
          </w:p>
        </w:tc>
      </w:tr>
      <w:tr>
        <w:trPr>
          <w:cantSplit w:val="0"/>
          <w:tblHeader w:val="0"/>
        </w:trPr>
        <w:tc>
          <w:tcPr>
            <w:vAlign w:val="center"/>
          </w:tcPr>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sz w:val="24"/>
                <w:szCs w:val="24"/>
                <w:highlight w:val="white"/>
              </w:rPr>
            </w:pPr>
            <w:r w:rsidDel="00000000" w:rsidR="00000000" w:rsidRPr="00000000">
              <w:rPr>
                <w:rFonts w:ascii="Arial" w:cs="Arial" w:eastAsia="Arial" w:hAnsi="Arial"/>
                <w:b w:val="1"/>
                <w:i w:val="0"/>
                <w:smallCaps w:val="0"/>
                <w:strike w:val="0"/>
                <w:color w:val="000000"/>
                <w:sz w:val="24"/>
                <w:szCs w:val="24"/>
                <w:highlight w:val="white"/>
                <w:u w:val="none"/>
                <w:vertAlign w:val="baseline"/>
                <w:rtl w:val="0"/>
              </w:rPr>
              <w:t xml:space="preserve">2</w:t>
            </w:r>
            <w:r w:rsidDel="00000000" w:rsidR="00000000" w:rsidRPr="00000000">
              <w:rPr>
                <w:rtl w:val="0"/>
              </w:rPr>
            </w:r>
          </w:p>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highlight w:val="white"/>
                <w:u w:val="none"/>
                <w:vertAlign w:val="baseline"/>
              </w:rPr>
            </w:pPr>
            <w:r w:rsidDel="00000000" w:rsidR="00000000" w:rsidRPr="00000000">
              <w:rPr>
                <w:rFonts w:ascii="Arial" w:cs="Arial" w:eastAsia="Arial" w:hAnsi="Arial"/>
                <w:b w:val="1"/>
                <w:i w:val="0"/>
                <w:smallCaps w:val="0"/>
                <w:strike w:val="0"/>
                <w:color w:val="000000"/>
                <w:sz w:val="24"/>
                <w:szCs w:val="24"/>
                <w:highlight w:val="white"/>
                <w:u w:val="none"/>
                <w:vertAlign w:val="baseline"/>
                <w:rtl w:val="0"/>
              </w:rPr>
              <w:t xml:space="preserve">Net Debt to EBITDA Ratio</w:t>
            </w:r>
          </w:p>
        </w:tc>
        <w:tc>
          <w:tcPr>
            <w:vAlign w:val="center"/>
          </w:tcPr>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7030a0"/>
                <w:sz w:val="24"/>
                <w:szCs w:val="24"/>
                <w:highlight w:val="white"/>
                <w:u w:val="none"/>
                <w:vertAlign w:val="baseline"/>
                <w:rtl w:val="0"/>
              </w:rPr>
              <w:t xml:space="preserve"> </w:t>
            </w: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Net Debt to EBITDA ratio = Net Debt / EBITDA</w:t>
            </w:r>
          </w:p>
        </w:tc>
        <w:tc>
          <w:tcPr>
            <w:vAlign w:val="center"/>
          </w:tcPr>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7030a0"/>
                <w:sz w:val="24"/>
                <w:szCs w:val="24"/>
                <w:highlight w:val="white"/>
                <w:u w:val="none"/>
                <w:vertAlign w:val="baseline"/>
                <w:rtl w:val="0"/>
              </w:rPr>
              <w:t xml:space="preserve"> </w:t>
            </w: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Lots 1, 2, 3 &amp; 4</w:t>
            </w:r>
          </w:p>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&lt; 3.5  times</w:t>
            </w:r>
          </w:p>
        </w:tc>
        <w:tc>
          <w:tcPr>
            <w:vAlign w:val="center"/>
          </w:tcPr>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Tested and reported yearly </w:t>
            </w:r>
            <w:r w:rsidDel="00000000" w:rsidR="00000000" w:rsidRPr="00000000">
              <w:rPr>
                <w:rFonts w:ascii="Arial" w:cs="Arial" w:eastAsia="Arial" w:hAnsi="Arial"/>
                <w:b w:val="0"/>
                <w:i w:val="1"/>
                <w:smallCaps w:val="0"/>
                <w:strike w:val="0"/>
                <w:color w:val="7030a0"/>
                <w:sz w:val="24"/>
                <w:szCs w:val="24"/>
                <w:highlight w:val="white"/>
                <w:u w:val="none"/>
                <w:vertAlign w:val="baseline"/>
                <w:rtl w:val="0"/>
              </w:rPr>
              <w:t xml:space="preserve"> </w:t>
            </w: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in arrears within </w:t>
            </w:r>
            <w:r w:rsidDel="00000000" w:rsidR="00000000" w:rsidRPr="00000000">
              <w:rPr>
                <w:rFonts w:ascii="Arial" w:cs="Arial" w:eastAsia="Arial" w:hAnsi="Arial"/>
                <w:b w:val="0"/>
                <w:i w:val="1"/>
                <w:smallCaps w:val="0"/>
                <w:strike w:val="0"/>
                <w:sz w:val="24"/>
                <w:szCs w:val="24"/>
                <w:highlight w:val="white"/>
                <w:u w:val="none"/>
                <w:vertAlign w:val="baseline"/>
                <w:rtl w:val="0"/>
              </w:rPr>
              <w:t xml:space="preserve">120 days of each accounting reference date based upon Free Cash Flow / E</w:t>
            </w: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BITDA for the 12 months ending on, and Net Debt at, the relevant accounting reference date </w:t>
            </w:r>
          </w:p>
        </w:tc>
      </w:tr>
      <w:tr>
        <w:trPr>
          <w:cantSplit w:val="0"/>
          <w:tblHeader w:val="0"/>
        </w:trPr>
        <w:tc>
          <w:tcPr>
            <w:vAlign w:val="center"/>
          </w:tcPr>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sz w:val="24"/>
                <w:szCs w:val="24"/>
                <w:highlight w:val="white"/>
              </w:rPr>
            </w:pPr>
            <w:r w:rsidDel="00000000" w:rsidR="00000000" w:rsidRPr="00000000">
              <w:rPr>
                <w:rFonts w:ascii="Arial" w:cs="Arial" w:eastAsia="Arial" w:hAnsi="Arial"/>
                <w:b w:val="1"/>
                <w:i w:val="0"/>
                <w:smallCaps w:val="0"/>
                <w:strike w:val="0"/>
                <w:color w:val="000000"/>
                <w:sz w:val="24"/>
                <w:szCs w:val="24"/>
                <w:highlight w:val="white"/>
                <w:u w:val="none"/>
                <w:vertAlign w:val="baseline"/>
                <w:rtl w:val="0"/>
              </w:rPr>
              <w:t xml:space="preserve">3</w:t>
            </w:r>
            <w:r w:rsidDel="00000000" w:rsidR="00000000" w:rsidRPr="00000000">
              <w:rPr>
                <w:rtl w:val="0"/>
              </w:rPr>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highlight w:val="white"/>
                <w:u w:val="none"/>
                <w:vertAlign w:val="baseline"/>
              </w:rPr>
            </w:pPr>
            <w:r w:rsidDel="00000000" w:rsidR="00000000" w:rsidRPr="00000000">
              <w:rPr>
                <w:rFonts w:ascii="Arial" w:cs="Arial" w:eastAsia="Arial" w:hAnsi="Arial"/>
                <w:b w:val="1"/>
                <w:i w:val="0"/>
                <w:smallCaps w:val="0"/>
                <w:strike w:val="0"/>
                <w:color w:val="000000"/>
                <w:sz w:val="24"/>
                <w:szCs w:val="24"/>
                <w:highlight w:val="white"/>
                <w:u w:val="none"/>
                <w:vertAlign w:val="baseline"/>
                <w:rtl w:val="0"/>
              </w:rPr>
              <w:t xml:space="preserve">Net Debt + Net Pension Deficit to EBITDA ratio</w:t>
            </w:r>
          </w:p>
        </w:tc>
        <w:tc>
          <w:tcPr>
            <w:vAlign w:val="center"/>
          </w:tcPr>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Net Debt + Net Pension Deficit to EBITDA Ratio = (Net Debt + Net Pension Deficit) / EBITDA</w:t>
            </w:r>
          </w:p>
        </w:tc>
        <w:tc>
          <w:tcPr>
            <w:vAlign w:val="center"/>
          </w:tcPr>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Lots 1 &amp; 2    &lt; 5 times</w:t>
            </w:r>
          </w:p>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Lots 3 &amp; 4</w:t>
            </w:r>
          </w:p>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N/A</w:t>
            </w:r>
          </w:p>
        </w:tc>
        <w:tc>
          <w:tcPr>
            <w:vAlign w:val="center"/>
          </w:tcPr>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Tested and reported yearly in arrears with</w:t>
            </w:r>
            <w:r w:rsidDel="00000000" w:rsidR="00000000" w:rsidRPr="00000000">
              <w:rPr>
                <w:rFonts w:ascii="Arial" w:cs="Arial" w:eastAsia="Arial" w:hAnsi="Arial"/>
                <w:b w:val="0"/>
                <w:i w:val="1"/>
                <w:smallCaps w:val="0"/>
                <w:strike w:val="0"/>
                <w:sz w:val="24"/>
                <w:szCs w:val="24"/>
                <w:highlight w:val="white"/>
                <w:u w:val="none"/>
                <w:vertAlign w:val="baseline"/>
                <w:rtl w:val="0"/>
              </w:rPr>
              <w:t xml:space="preserve">in 90 da</w:t>
            </w: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ys of each accounting reference date based upon EBITDA for the 12 months ending on, and the Net Debt and Net Pension Deficit at, the relevant accounting reference date</w:t>
            </w:r>
          </w:p>
        </w:tc>
      </w:tr>
      <w:tr>
        <w:trPr>
          <w:cantSplit w:val="0"/>
          <w:tblHeader w:val="0"/>
        </w:trPr>
        <w:tc>
          <w:tcPr>
            <w:vAlign w:val="center"/>
          </w:tcPr>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highlight w:val="white"/>
                <w:u w:val="none"/>
                <w:vertAlign w:val="baseline"/>
              </w:rPr>
            </w:pPr>
            <w:r w:rsidDel="00000000" w:rsidR="00000000" w:rsidRPr="00000000">
              <w:rPr>
                <w:rFonts w:ascii="Arial" w:cs="Arial" w:eastAsia="Arial" w:hAnsi="Arial"/>
                <w:b w:val="1"/>
                <w:i w:val="0"/>
                <w:smallCaps w:val="0"/>
                <w:strike w:val="0"/>
                <w:color w:val="000000"/>
                <w:sz w:val="24"/>
                <w:szCs w:val="24"/>
                <w:highlight w:val="white"/>
                <w:u w:val="none"/>
                <w:vertAlign w:val="baseline"/>
                <w:rtl w:val="0"/>
              </w:rPr>
              <w:t xml:space="preserve">4</w:t>
            </w:r>
          </w:p>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highlight w:val="white"/>
                <w:u w:val="none"/>
                <w:vertAlign w:val="baseline"/>
              </w:rPr>
            </w:pPr>
            <w:r w:rsidDel="00000000" w:rsidR="00000000" w:rsidRPr="00000000">
              <w:rPr>
                <w:rFonts w:ascii="Arial" w:cs="Arial" w:eastAsia="Arial" w:hAnsi="Arial"/>
                <w:b w:val="1"/>
                <w:i w:val="0"/>
                <w:smallCaps w:val="0"/>
                <w:strike w:val="0"/>
                <w:color w:val="000000"/>
                <w:sz w:val="24"/>
                <w:szCs w:val="24"/>
                <w:highlight w:val="white"/>
                <w:u w:val="none"/>
                <w:vertAlign w:val="baseline"/>
                <w:rtl w:val="0"/>
              </w:rPr>
              <w:t xml:space="preserve">Net Interest Paid Cover</w:t>
            </w:r>
          </w:p>
        </w:tc>
        <w:tc>
          <w:tcPr>
            <w:vAlign w:val="center"/>
          </w:tcPr>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Net Interest Paid Cover = Earnings Before Interest and Tax / Net Interest Paid</w:t>
            </w:r>
          </w:p>
        </w:tc>
        <w:tc>
          <w:tcPr>
            <w:vAlign w:val="center"/>
          </w:tcPr>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&gt; 3 times</w:t>
            </w:r>
          </w:p>
        </w:tc>
        <w:tc>
          <w:tcPr>
            <w:vAlign w:val="center"/>
          </w:tcPr>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Tested and reported yearly </w:t>
            </w:r>
            <w:r w:rsidDel="00000000" w:rsidR="00000000" w:rsidRPr="00000000">
              <w:rPr>
                <w:rFonts w:ascii="Arial" w:cs="Arial" w:eastAsia="Arial" w:hAnsi="Arial"/>
                <w:b w:val="0"/>
                <w:i w:val="1"/>
                <w:smallCaps w:val="0"/>
                <w:strike w:val="0"/>
                <w:color w:val="8064a2"/>
                <w:sz w:val="24"/>
                <w:szCs w:val="24"/>
                <w:highlight w:val="white"/>
                <w:u w:val="none"/>
                <w:vertAlign w:val="baseline"/>
                <w:rtl w:val="0"/>
              </w:rPr>
              <w:t xml:space="preserve"> </w:t>
            </w: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in arrears within </w:t>
            </w:r>
            <w:r w:rsidDel="00000000" w:rsidR="00000000" w:rsidRPr="00000000">
              <w:rPr>
                <w:rFonts w:ascii="Arial" w:cs="Arial" w:eastAsia="Arial" w:hAnsi="Arial"/>
                <w:smallCaps w:val="0"/>
                <w:strike w:val="0"/>
                <w:sz w:val="24"/>
                <w:szCs w:val="24"/>
                <w:highlight w:val="white"/>
                <w:u w:val="none"/>
                <w:vertAlign w:val="baseline"/>
                <w:rtl w:val="0"/>
              </w:rPr>
              <w:t xml:space="preserve">120 </w:t>
            </w: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 days of each accounting reference based upon figures for the 12 months ending on the relevant accounting reference date </w:t>
            </w:r>
          </w:p>
        </w:tc>
      </w:tr>
      <w:tr>
        <w:trPr>
          <w:cantSplit w:val="0"/>
          <w:tblHeader w:val="0"/>
        </w:trPr>
        <w:tc>
          <w:tcPr>
            <w:vAlign w:val="center"/>
          </w:tcPr>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highlight w:val="white"/>
                <w:u w:val="none"/>
                <w:vertAlign w:val="baseline"/>
              </w:rPr>
            </w:pPr>
            <w:r w:rsidDel="00000000" w:rsidR="00000000" w:rsidRPr="00000000">
              <w:rPr>
                <w:rFonts w:ascii="Arial" w:cs="Arial" w:eastAsia="Arial" w:hAnsi="Arial"/>
                <w:b w:val="1"/>
                <w:i w:val="0"/>
                <w:smallCaps w:val="0"/>
                <w:strike w:val="0"/>
                <w:color w:val="000000"/>
                <w:sz w:val="24"/>
                <w:szCs w:val="24"/>
                <w:highlight w:val="white"/>
                <w:u w:val="none"/>
                <w:vertAlign w:val="baseline"/>
                <w:rtl w:val="0"/>
              </w:rPr>
              <w:t xml:space="preserve">5</w:t>
            </w:r>
          </w:p>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highlight w:val="white"/>
                <w:u w:val="none"/>
                <w:vertAlign w:val="baseline"/>
              </w:rPr>
            </w:pPr>
            <w:r w:rsidDel="00000000" w:rsidR="00000000" w:rsidRPr="00000000">
              <w:rPr>
                <w:rFonts w:ascii="Arial" w:cs="Arial" w:eastAsia="Arial" w:hAnsi="Arial"/>
                <w:b w:val="1"/>
                <w:i w:val="0"/>
                <w:smallCaps w:val="0"/>
                <w:strike w:val="0"/>
                <w:color w:val="000000"/>
                <w:sz w:val="24"/>
                <w:szCs w:val="24"/>
                <w:highlight w:val="white"/>
                <w:u w:val="none"/>
                <w:vertAlign w:val="baseline"/>
                <w:rtl w:val="0"/>
              </w:rPr>
              <w:t xml:space="preserve">Acid Ratio</w:t>
            </w:r>
          </w:p>
        </w:tc>
        <w:tc>
          <w:tcPr>
            <w:vAlign w:val="center"/>
          </w:tcPr>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Acid Ratio = (Current Assets – Inventories) / Current Liabilities</w:t>
            </w:r>
          </w:p>
        </w:tc>
        <w:tc>
          <w:tcPr>
            <w:vAlign w:val="center"/>
          </w:tcPr>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Lots 1 &amp; 2   &gt;0.8  times</w:t>
            </w:r>
          </w:p>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Lots 3 &amp; 4</w:t>
            </w:r>
          </w:p>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&gt;0.8</w:t>
            </w:r>
          </w:p>
        </w:tc>
        <w:tc>
          <w:tcPr>
            <w:vAlign w:val="center"/>
          </w:tcPr>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Tested and reported yearly  in arrears within </w:t>
            </w:r>
            <w:r w:rsidDel="00000000" w:rsidR="00000000" w:rsidRPr="00000000">
              <w:rPr>
                <w:rFonts w:ascii="Arial" w:cs="Arial" w:eastAsia="Arial" w:hAnsi="Arial"/>
                <w:b w:val="0"/>
                <w:i w:val="1"/>
                <w:smallCaps w:val="0"/>
                <w:strike w:val="0"/>
                <w:sz w:val="24"/>
                <w:szCs w:val="24"/>
                <w:highlight w:val="white"/>
                <w:u w:val="none"/>
                <w:vertAlign w:val="baseline"/>
                <w:rtl w:val="0"/>
              </w:rPr>
              <w:t xml:space="preserve">120 </w:t>
            </w: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 days of each accounting reference date  based upon figures at the relevant accounting reference date</w:t>
            </w:r>
            <w:r w:rsidDel="00000000" w:rsidR="00000000" w:rsidRPr="00000000">
              <w:rPr>
                <w:rFonts w:ascii="Arial" w:cs="Arial" w:eastAsia="Arial" w:hAnsi="Arial"/>
                <w:b w:val="0"/>
                <w:i w:val="1"/>
                <w:smallCaps w:val="0"/>
                <w:strike w:val="0"/>
                <w:color w:val="8064a2"/>
                <w:sz w:val="24"/>
                <w:szCs w:val="24"/>
                <w:highlight w:val="white"/>
                <w:u w:val="none"/>
                <w:vertAlign w:val="baseline"/>
                <w:rtl w:val="0"/>
              </w:rPr>
              <w:t xml:space="preserve"> </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highlight w:val="white"/>
                <w:u w:val="none"/>
                <w:vertAlign w:val="baseline"/>
              </w:rPr>
            </w:pPr>
            <w:r w:rsidDel="00000000" w:rsidR="00000000" w:rsidRPr="00000000">
              <w:rPr>
                <w:rFonts w:ascii="Arial" w:cs="Arial" w:eastAsia="Arial" w:hAnsi="Arial"/>
                <w:b w:val="1"/>
                <w:i w:val="0"/>
                <w:smallCaps w:val="0"/>
                <w:strike w:val="0"/>
                <w:color w:val="000000"/>
                <w:sz w:val="24"/>
                <w:szCs w:val="24"/>
                <w:highlight w:val="white"/>
                <w:u w:val="none"/>
                <w:vertAlign w:val="baseline"/>
                <w:rtl w:val="0"/>
              </w:rPr>
              <w:t xml:space="preserve">6</w:t>
            </w:r>
          </w:p>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highlight w:val="white"/>
                <w:u w:val="none"/>
                <w:vertAlign w:val="baseline"/>
              </w:rPr>
            </w:pPr>
            <w:r w:rsidDel="00000000" w:rsidR="00000000" w:rsidRPr="00000000">
              <w:rPr>
                <w:rFonts w:ascii="Arial" w:cs="Arial" w:eastAsia="Arial" w:hAnsi="Arial"/>
                <w:b w:val="1"/>
                <w:i w:val="0"/>
                <w:smallCaps w:val="0"/>
                <w:strike w:val="0"/>
                <w:color w:val="000000"/>
                <w:sz w:val="24"/>
                <w:szCs w:val="24"/>
                <w:highlight w:val="white"/>
                <w:u w:val="none"/>
                <w:vertAlign w:val="baseline"/>
                <w:rtl w:val="0"/>
              </w:rPr>
              <w:t xml:space="preserve">Net Asset value</w:t>
            </w:r>
          </w:p>
        </w:tc>
        <w:tc>
          <w:tcPr>
            <w:vAlign w:val="center"/>
          </w:tcPr>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Net Asset Value = Net Assets</w:t>
            </w:r>
          </w:p>
        </w:tc>
        <w:tc>
          <w:tcPr>
            <w:vAlign w:val="center"/>
          </w:tcPr>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Lots 1,2 3 &amp; 4                   &gt; £0</w:t>
            </w:r>
          </w:p>
        </w:tc>
        <w:tc>
          <w:tcPr>
            <w:vAlign w:val="center"/>
          </w:tcPr>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Tested and reported yearly  in arrears within</w:t>
            </w:r>
            <w:r w:rsidDel="00000000" w:rsidR="00000000" w:rsidRPr="00000000">
              <w:rPr>
                <w:rFonts w:ascii="Arial" w:cs="Arial" w:eastAsia="Arial" w:hAnsi="Arial"/>
                <w:b w:val="0"/>
                <w:i w:val="1"/>
                <w:smallCaps w:val="0"/>
                <w:strike w:val="0"/>
                <w:sz w:val="24"/>
                <w:szCs w:val="24"/>
                <w:highlight w:val="white"/>
                <w:u w:val="none"/>
                <w:vertAlign w:val="baseline"/>
                <w:rtl w:val="0"/>
              </w:rPr>
              <w:t xml:space="preserve"> 120</w:t>
            </w:r>
            <w:r w:rsidDel="00000000" w:rsidR="00000000" w:rsidRPr="00000000">
              <w:rPr>
                <w:rFonts w:ascii="Arial" w:cs="Arial" w:eastAsia="Arial" w:hAnsi="Arial"/>
                <w:b w:val="0"/>
                <w:i w:val="1"/>
                <w:smallCaps w:val="0"/>
                <w:strike w:val="0"/>
                <w:color w:val="8064a2"/>
                <w:sz w:val="24"/>
                <w:szCs w:val="24"/>
                <w:highlight w:val="white"/>
                <w:u w:val="none"/>
                <w:vertAlign w:val="baseline"/>
                <w:rtl w:val="0"/>
              </w:rPr>
              <w:t xml:space="preserve"> </w:t>
            </w: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 days of each accounting reference date  based upon figures at the relevant accounting reference date </w:t>
            </w:r>
          </w:p>
        </w:tc>
      </w:tr>
      <w:tr>
        <w:trPr>
          <w:cantSplit w:val="0"/>
          <w:tblHeader w:val="0"/>
        </w:trPr>
        <w:tc>
          <w:tcPr>
            <w:vAlign w:val="center"/>
          </w:tcPr>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highlight w:val="white"/>
                <w:u w:val="none"/>
                <w:vertAlign w:val="baseline"/>
              </w:rPr>
            </w:pPr>
            <w:r w:rsidDel="00000000" w:rsidR="00000000" w:rsidRPr="00000000">
              <w:rPr>
                <w:rFonts w:ascii="Arial" w:cs="Arial" w:eastAsia="Arial" w:hAnsi="Arial"/>
                <w:b w:val="1"/>
                <w:i w:val="0"/>
                <w:smallCaps w:val="0"/>
                <w:strike w:val="0"/>
                <w:color w:val="000000"/>
                <w:sz w:val="24"/>
                <w:szCs w:val="24"/>
                <w:highlight w:val="white"/>
                <w:u w:val="none"/>
                <w:vertAlign w:val="baseline"/>
                <w:rtl w:val="0"/>
              </w:rPr>
              <w:t xml:space="preserve">7</w:t>
            </w:r>
          </w:p>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highlight w:val="white"/>
                <w:u w:val="none"/>
                <w:vertAlign w:val="baseline"/>
              </w:rPr>
            </w:pPr>
            <w:r w:rsidDel="00000000" w:rsidR="00000000" w:rsidRPr="00000000">
              <w:rPr>
                <w:rFonts w:ascii="Arial" w:cs="Arial" w:eastAsia="Arial" w:hAnsi="Arial"/>
                <w:b w:val="1"/>
                <w:i w:val="0"/>
                <w:smallCaps w:val="0"/>
                <w:strike w:val="0"/>
                <w:color w:val="000000"/>
                <w:sz w:val="24"/>
                <w:szCs w:val="24"/>
                <w:highlight w:val="white"/>
                <w:u w:val="none"/>
                <w:vertAlign w:val="baseline"/>
                <w:rtl w:val="0"/>
              </w:rPr>
              <w:t xml:space="preserve">Group Exposure Ratio</w:t>
            </w:r>
          </w:p>
        </w:tc>
        <w:tc>
          <w:tcPr>
            <w:vAlign w:val="center"/>
          </w:tcPr>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[Group Exposure / Gross Assets]</w:t>
            </w:r>
          </w:p>
        </w:tc>
        <w:tc>
          <w:tcPr>
            <w:vAlign w:val="center"/>
          </w:tcPr>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Lots 1 &amp; 2   [&lt;50%</w:t>
            </w:r>
          </w:p>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Lots 3 &amp; 4 N/A</w:t>
            </w:r>
          </w:p>
        </w:tc>
        <w:tc>
          <w:tcPr>
            <w:vAlign w:val="center"/>
          </w:tcPr>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Tested and reported yearly in arrears within 90 days of each accounting reference date based upon figures at the relevant accounting reference date</w:t>
            </w:r>
          </w:p>
        </w:tc>
      </w:tr>
      <w:tr>
        <w:trPr>
          <w:cantSplit w:val="0"/>
          <w:tblHeader w:val="0"/>
        </w:trPr>
        <w:tc>
          <w:tcPr>
            <w:vAlign w:val="center"/>
          </w:tcPr>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8</w:t>
            </w:r>
          </w:p>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sz w:val="24"/>
                <w:szCs w:val="24"/>
                <w:highlight w:val="yellow"/>
                <w:u w:val="none"/>
                <w:vertAlign w:val="baseline"/>
              </w:rPr>
            </w:pPr>
            <w:r w:rsidDel="00000000" w:rsidR="00000000" w:rsidRPr="00000000">
              <w:rPr>
                <w:rFonts w:ascii="Arial" w:cs="Arial" w:eastAsia="Arial" w:hAnsi="Arial"/>
                <w:b w:val="1"/>
                <w:i w:val="0"/>
                <w:smallCaps w:val="0"/>
                <w:strike w:val="0"/>
                <w:sz w:val="24"/>
                <w:szCs w:val="24"/>
                <w:highlight w:val="yellow"/>
                <w:u w:val="none"/>
                <w:vertAlign w:val="baseline"/>
                <w:rtl w:val="0"/>
              </w:rPr>
              <w:t xml:space="preserve">Financial Target </w:t>
            </w:r>
          </w:p>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sz w:val="24"/>
                <w:szCs w:val="24"/>
                <w:highlight w:val="yellow"/>
                <w:u w:val="none"/>
                <w:vertAlign w:val="baseline"/>
              </w:rPr>
            </w:pPr>
            <w:r w:rsidDel="00000000" w:rsidR="00000000" w:rsidRPr="00000000">
              <w:rPr>
                <w:rFonts w:ascii="Arial" w:cs="Arial" w:eastAsia="Arial" w:hAnsi="Arial"/>
                <w:b w:val="1"/>
                <w:i w:val="0"/>
                <w:smallCaps w:val="0"/>
                <w:strike w:val="0"/>
                <w:sz w:val="24"/>
                <w:szCs w:val="24"/>
                <w:highlight w:val="yellow"/>
                <w:u w:val="none"/>
                <w:vertAlign w:val="baseline"/>
                <w:rtl w:val="0"/>
              </w:rPr>
              <w:t xml:space="preserve">[</w:t>
            </w:r>
            <w:r w:rsidDel="00000000" w:rsidR="00000000" w:rsidRPr="00000000">
              <w:rPr>
                <w:rFonts w:ascii="Arial" w:cs="Arial" w:eastAsia="Arial" w:hAnsi="Arial"/>
                <w:b w:val="1"/>
                <w:sz w:val="24"/>
                <w:szCs w:val="24"/>
                <w:highlight w:val="yellow"/>
                <w:rtl w:val="0"/>
              </w:rPr>
              <w:t xml:space="preserve">description</w:t>
            </w:r>
            <w:r w:rsidDel="00000000" w:rsidR="00000000" w:rsidRPr="00000000">
              <w:rPr>
                <w:rFonts w:ascii="Arial" w:cs="Arial" w:eastAsia="Arial" w:hAnsi="Arial"/>
                <w:b w:val="1"/>
                <w:i w:val="0"/>
                <w:smallCaps w:val="0"/>
                <w:strike w:val="0"/>
                <w:sz w:val="24"/>
                <w:szCs w:val="24"/>
                <w:highlight w:val="yellow"/>
                <w:u w:val="none"/>
                <w:vertAlign w:val="baseline"/>
                <w:rtl w:val="0"/>
              </w:rPr>
              <w:t xml:space="preserve">]</w:t>
            </w:r>
          </w:p>
        </w:tc>
        <w:tc>
          <w:tcPr>
            <w:vAlign w:val="center"/>
          </w:tcPr>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sz w:val="24"/>
                <w:szCs w:val="24"/>
                <w:highlight w:val="yellow"/>
                <w:u w:val="none"/>
                <w:vertAlign w:val="baseline"/>
              </w:rPr>
            </w:pPr>
            <w:r w:rsidDel="00000000" w:rsidR="00000000" w:rsidRPr="00000000">
              <w:rPr>
                <w:rFonts w:ascii="Arial" w:cs="Arial" w:eastAsia="Arial" w:hAnsi="Arial"/>
                <w:b w:val="0"/>
                <w:i w:val="1"/>
                <w:smallCaps w:val="0"/>
                <w:strike w:val="0"/>
                <w:sz w:val="24"/>
                <w:szCs w:val="24"/>
                <w:highlight w:val="yellow"/>
                <w:u w:val="none"/>
                <w:vertAlign w:val="baseline"/>
                <w:rtl w:val="0"/>
              </w:rPr>
              <w:t xml:space="preserve">[etc.]</w:t>
            </w:r>
          </w:p>
        </w:tc>
        <w:tc>
          <w:tcPr>
            <w:vAlign w:val="center"/>
          </w:tcPr>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sz w:val="24"/>
                <w:szCs w:val="24"/>
                <w:highlight w:val="yellow"/>
                <w:u w:val="none"/>
                <w:vertAlign w:val="baseline"/>
              </w:rPr>
            </w:pPr>
            <w:r w:rsidDel="00000000" w:rsidR="00000000" w:rsidRPr="00000000">
              <w:rPr>
                <w:rFonts w:ascii="Arial" w:cs="Arial" w:eastAsia="Arial" w:hAnsi="Arial"/>
                <w:b w:val="0"/>
                <w:i w:val="1"/>
                <w:smallCaps w:val="0"/>
                <w:strike w:val="0"/>
                <w:sz w:val="24"/>
                <w:szCs w:val="24"/>
                <w:highlight w:val="yellow"/>
                <w:u w:val="none"/>
                <w:vertAlign w:val="baseline"/>
                <w:rtl w:val="0"/>
              </w:rPr>
              <w:t xml:space="preserve">[etc.]</w:t>
            </w:r>
          </w:p>
        </w:tc>
        <w:tc>
          <w:tcPr>
            <w:vAlign w:val="center"/>
          </w:tcPr>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sz w:val="24"/>
                <w:szCs w:val="24"/>
                <w:highlight w:val="yellow"/>
                <w:u w:val="none"/>
                <w:vertAlign w:val="baseline"/>
              </w:rPr>
            </w:pPr>
            <w:r w:rsidDel="00000000" w:rsidR="00000000" w:rsidRPr="00000000">
              <w:rPr>
                <w:rFonts w:ascii="Arial" w:cs="Arial" w:eastAsia="Arial" w:hAnsi="Arial"/>
                <w:b w:val="0"/>
                <w:i w:val="1"/>
                <w:smallCaps w:val="0"/>
                <w:strike w:val="0"/>
                <w:sz w:val="24"/>
                <w:szCs w:val="24"/>
                <w:highlight w:val="yellow"/>
                <w:u w:val="none"/>
                <w:vertAlign w:val="baseline"/>
                <w:rtl w:val="0"/>
              </w:rPr>
              <w:t xml:space="preserve">[etc.]</w:t>
            </w:r>
          </w:p>
        </w:tc>
      </w:tr>
    </w:tbl>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Key: 1 – see Annex 3 to this Schedule which sets out the calculation methodology to be used in the calculation of each financial indicator.</w:t>
      </w:r>
      <w:r w:rsidDel="00000000" w:rsidR="00000000" w:rsidRPr="00000000">
        <w:rPr>
          <w:rtl w:val="0"/>
        </w:rPr>
      </w:r>
    </w:p>
    <w:p w:rsidR="00000000" w:rsidDel="00000000" w:rsidP="00000000" w:rsidRDefault="00000000" w:rsidRPr="00000000" w14:paraId="0000009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Monitored Suppliers </w:t>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851"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[Guidance: Insert details of any other entities which the Supplier is required to monitor against the Financial Indicators. These are in addition to the Supplier’s monitoring of itself, the Guarantor and the Key Sub-contractors. Not all the Financial Indicators may be applicable to a Monitored Supplier, so indicate which of those are to apply in the table below]</w:t>
      </w:r>
      <w:r w:rsidDel="00000000" w:rsidR="00000000" w:rsidRPr="00000000">
        <w:rPr>
          <w:rtl w:val="0"/>
        </w:rPr>
      </w:r>
    </w:p>
    <w:tbl>
      <w:tblPr>
        <w:tblStyle w:val="Table3"/>
        <w:tblW w:w="8296.0" w:type="dxa"/>
        <w:jc w:val="left"/>
        <w:tblInd w:w="7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073"/>
        <w:gridCol w:w="4223"/>
        <w:tblGridChange w:id="0">
          <w:tblGrid>
            <w:gridCol w:w="4073"/>
            <w:gridCol w:w="4223"/>
          </w:tblGrid>
        </w:tblGridChange>
      </w:tblGrid>
      <w:tr>
        <w:trPr>
          <w:cantSplit w:val="0"/>
          <w:tblHeader w:val="0"/>
        </w:trPr>
        <w:tc>
          <w:tcPr>
            <w:shd w:fill="d9d9d9" w:val="clear"/>
          </w:tcPr>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Monitored Supplier</w:t>
            </w:r>
          </w:p>
        </w:tc>
        <w:tc>
          <w:tcPr>
            <w:shd w:fill="d9d9d9" w:val="clear"/>
          </w:tcPr>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Applicable Financial Indicators</w:t>
            </w:r>
          </w:p>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(these are the Financial Indicators from the table in Paragraph 5.1 of this Joint Schedule 7 which are to apply to the Monitored Suppliers)</w:t>
            </w:r>
          </w:p>
        </w:tc>
      </w:tr>
      <w:tr>
        <w:trPr>
          <w:cantSplit w:val="0"/>
          <w:tblHeader w:val="0"/>
        </w:trPr>
        <w:tc>
          <w:tcPr/>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[Entity 1 e.g Group Member, Sub-contractor, Relevant Parent Company etc.] </w:t>
            </w:r>
            <w:r w:rsidDel="00000000" w:rsidR="00000000" w:rsidRPr="00000000">
              <w:rPr>
                <w:rtl w:val="0"/>
              </w:rPr>
            </w:r>
          </w:p>
        </w:tc>
        <w:tc>
          <w:tcPr/>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[1 – Operating Margin]</w:t>
            </w:r>
          </w:p>
          <w:p w:rsidR="00000000" w:rsidDel="00000000" w:rsidP="00000000" w:rsidRDefault="00000000" w:rsidRPr="00000000" w14:paraId="0000009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[2 – etc..]</w:t>
            </w:r>
          </w:p>
          <w:p w:rsidR="00000000" w:rsidDel="00000000" w:rsidP="00000000" w:rsidRDefault="00000000" w:rsidRPr="00000000" w14:paraId="0000009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[3][4][5][6][7][8][etc..]</w:t>
            </w:r>
            <w:r w:rsidDel="00000000" w:rsidR="00000000" w:rsidRPr="00000000">
              <w:rPr>
                <w:rtl w:val="0"/>
              </w:rPr>
            </w:r>
          </w:p>
        </w:tc>
      </w:tr>
      <w:tr>
        <w:trPr>
          <w:cantSplit w:val="0"/>
          <w:tblHeader w:val="0"/>
        </w:trPr>
        <w:tc>
          <w:tcPr/>
          <w:p w:rsidR="00000000" w:rsidDel="00000000" w:rsidP="00000000" w:rsidRDefault="00000000" w:rsidRPr="00000000" w14:paraId="000000A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[Entity 2 e.g Group Member, Sub-contractor, Relevant Parent Company etc.]</w:t>
            </w:r>
          </w:p>
        </w:tc>
        <w:tc>
          <w:tcPr/>
          <w:p w:rsidR="00000000" w:rsidDel="00000000" w:rsidP="00000000" w:rsidRDefault="00000000" w:rsidRPr="00000000" w14:paraId="000000A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[1 – Operating Margin]</w:t>
            </w:r>
          </w:p>
          <w:p w:rsidR="00000000" w:rsidDel="00000000" w:rsidP="00000000" w:rsidRDefault="00000000" w:rsidRPr="00000000" w14:paraId="000000A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[2 – etc.]</w:t>
            </w:r>
          </w:p>
          <w:p w:rsidR="00000000" w:rsidDel="00000000" w:rsidP="00000000" w:rsidRDefault="00000000" w:rsidRPr="00000000" w14:paraId="000000A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[3][4][5][6][7][8][etc..]</w:t>
            </w:r>
          </w:p>
        </w:tc>
      </w:tr>
      <w:tr>
        <w:trPr>
          <w:cantSplit w:val="0"/>
          <w:tblHeader w:val="0"/>
        </w:trPr>
        <w:tc>
          <w:tcPr/>
          <w:p w:rsidR="00000000" w:rsidDel="00000000" w:rsidP="00000000" w:rsidRDefault="00000000" w:rsidRPr="00000000" w14:paraId="000000A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[etc.]</w:t>
            </w:r>
          </w:p>
        </w:tc>
        <w:tc>
          <w:tcPr/>
          <w:p w:rsidR="00000000" w:rsidDel="00000000" w:rsidP="00000000" w:rsidRDefault="00000000" w:rsidRPr="00000000" w14:paraId="000000A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[etc.]</w:t>
            </w:r>
          </w:p>
        </w:tc>
      </w:tr>
    </w:tbl>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1004"/>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7">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Termination rights</w:t>
      </w:r>
    </w:p>
    <w:p w:rsidR="00000000" w:rsidDel="00000000" w:rsidP="00000000" w:rsidRDefault="00000000" w:rsidRPr="00000000" w14:paraId="000000A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shall be entitled to terminate the Contract if:</w:t>
      </w:r>
    </w:p>
    <w:p w:rsidR="00000000" w:rsidDel="00000000" w:rsidP="00000000" w:rsidRDefault="00000000" w:rsidRPr="00000000" w14:paraId="000000A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1701"/>
        </w:tabs>
        <w:spacing w:after="120" w:before="120" w:line="240" w:lineRule="auto"/>
        <w:ind w:left="1701" w:right="0" w:hanging="76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notify the Relevant Authority of a Financial Distress Event in accordance with Paragraph 2.3.3 of this Joint Schedule 7;</w:t>
      </w:r>
    </w:p>
    <w:p w:rsidR="00000000" w:rsidDel="00000000" w:rsidP="00000000" w:rsidRDefault="00000000" w:rsidRPr="00000000" w14:paraId="000000A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1701"/>
        </w:tabs>
        <w:spacing w:after="120" w:before="120" w:line="240" w:lineRule="auto"/>
        <w:ind w:left="1701" w:right="0" w:hanging="76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fail to agree a Financial Distress Remediation Plan (or any updated Financial Distress Remediation Plan) in accordance with Paragraphs 4.3 to 4.5 of this Joint Schedule 7; and/or</w:t>
      </w:r>
    </w:p>
    <w:p w:rsidR="00000000" w:rsidDel="00000000" w:rsidP="00000000" w:rsidRDefault="00000000" w:rsidRPr="00000000" w14:paraId="000000A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1701"/>
        </w:tabs>
        <w:spacing w:after="120" w:before="120" w:line="240" w:lineRule="auto"/>
        <w:ind w:left="1701" w:right="0" w:hanging="76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comply with the terms of the Financial Distress Remediation Plan (or any updated Financial Distress Remediation Plan) in accordance with Paragraph 4.6.3 of this Joint Schedule 7,</w:t>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shall be deemed to be an event to which Clause 10.4.1 of the Core Terms applies and Clauses 10.6.1 and 10.6.2 of the Core Terms shall apply accordingly.</w:t>
      </w:r>
    </w:p>
    <w:p w:rsidR="00000000" w:rsidDel="00000000" w:rsidP="00000000" w:rsidRDefault="00000000" w:rsidRPr="00000000" w14:paraId="000000AD">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Primacy of Credit Ratings</w:t>
      </w:r>
    </w:p>
    <w:p w:rsidR="00000000" w:rsidDel="00000000" w:rsidP="00000000" w:rsidRDefault="00000000" w:rsidRPr="00000000" w14:paraId="000000A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Supplier’s obligations and the Relevant Authority’s rights and remedies under Paragraph 2 of this Joint Schedule 7, if, following the occurrence of a Financial Distress Event pursuant to any of Paragraphs 3.1.2 to 3.1.7 of this Joint Schedule 7, the Rating Agencies review and report subsequently that the credit ratings for the FDE Group entities do not drop below the relevant Credit Rating Thresholds specified for those entities in Annex 2 to this Schedule, then:</w:t>
      </w:r>
    </w:p>
    <w:p w:rsidR="00000000" w:rsidDel="00000000" w:rsidP="00000000" w:rsidRDefault="00000000" w:rsidRPr="00000000" w14:paraId="000000A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1701"/>
        </w:tabs>
        <w:spacing w:after="120" w:before="120" w:line="240" w:lineRule="auto"/>
        <w:ind w:left="1701" w:right="0" w:hanging="76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relieved automatically of its obligations under Paragraphs 4.3 to 4.6 of this Joint Schedule 7; and</w:t>
      </w:r>
    </w:p>
    <w:p w:rsidR="00000000" w:rsidDel="00000000" w:rsidP="00000000" w:rsidRDefault="00000000" w:rsidRPr="00000000" w14:paraId="000000B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1701"/>
        </w:tabs>
        <w:spacing w:after="120" w:before="120" w:line="240" w:lineRule="auto"/>
        <w:ind w:left="1701" w:right="0" w:hanging="76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shall not be entitled to require the Supplier to provide financial information in accordance with Paragraph 4.3.2(b) of this Joint Schedule 7.</w:t>
      </w:r>
    </w:p>
    <w:p w:rsidR="00000000" w:rsidDel="00000000" w:rsidP="00000000" w:rsidRDefault="00000000" w:rsidRPr="00000000" w14:paraId="000000B1">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Board confirmation</w:t>
      </w:r>
    </w:p>
    <w:p w:rsidR="00000000" w:rsidDel="00000000" w:rsidP="00000000" w:rsidRDefault="00000000" w:rsidRPr="00000000" w14:paraId="000000B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Contract has been specified as a Critical Service Contract under Paragraph 1.1 of Part B of Annex 1 to Call-Off Schedule 8 (Business Continuity and Disaster Recovery) (if applicable) then, subject to Paragraph 8.4 of this Joint Schedule 7, the Supplier shall within ninety (90) days after each Accounting Reference Date or within 15 months of the previous Board Confirmation (whichever is the earlier) provide a Board Confirmation to the Relevant Authority in the form set out at Annex 4 to this Schedule, confirming that to the best of the Board’s knowledge and belief, it is not aware of and has no knowledge:</w:t>
      </w:r>
    </w:p>
    <w:p w:rsidR="00000000" w:rsidDel="00000000" w:rsidP="00000000" w:rsidRDefault="00000000" w:rsidRPr="00000000" w14:paraId="000000B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1701"/>
        </w:tabs>
        <w:spacing w:after="120" w:before="120" w:line="240" w:lineRule="auto"/>
        <w:ind w:left="1701" w:right="0" w:hanging="76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a Financial Distress Event has occurred since the later of the Effective Date or the previous Board Confirmation or is subsisting; or</w:t>
      </w:r>
    </w:p>
    <w:p w:rsidR="00000000" w:rsidDel="00000000" w:rsidP="00000000" w:rsidRDefault="00000000" w:rsidRPr="00000000" w14:paraId="000000B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1701"/>
        </w:tabs>
        <w:spacing w:after="120" w:before="120" w:line="240" w:lineRule="auto"/>
        <w:ind w:left="1701" w:right="0" w:hanging="76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any matters which have occurred or are subsisting that could reasonably be expected to cause a Financial Distress Event.</w:t>
      </w:r>
    </w:p>
    <w:p w:rsidR="00000000" w:rsidDel="00000000" w:rsidP="00000000" w:rsidRDefault="00000000" w:rsidRPr="00000000" w14:paraId="000000B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in its preparation of the Board Confirmation it exercises due care and diligence and has made reasonable enquiry of all relevant Supplier Staff and other persons as is reasonably necessary to understand and confirm the position.</w:t>
      </w:r>
    </w:p>
    <w:p w:rsidR="00000000" w:rsidDel="00000000" w:rsidP="00000000" w:rsidRDefault="00000000" w:rsidRPr="00000000" w14:paraId="000000B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the first Board Confirmation to be provided under this Contract, the Supplier shall provide the Board Confirmation within 15 months of the Effective Date if earlier than the timescale for submission set out in Paragraph 8.1 of this Joint Schedule 7.</w:t>
      </w:r>
    </w:p>
    <w:p w:rsidR="00000000" w:rsidDel="00000000" w:rsidP="00000000" w:rsidRDefault="00000000" w:rsidRPr="00000000" w14:paraId="000000B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unable to provide a Board Confirmation in accordance with Paragraphs 8.1 to 8.3 of this Joint Schedule 7 due to the occurrence of a Financial Distress Event or knowledge of subsisting matters which could reasonably be expected to cause a Financial Distress Event, it will be sufficient for the Supplier to submit in place of the Board Confirmation, a statement from the Board of Directors to the Buyer (and where the Supplier is a Strategic Supplier, the Supplier shall send a copy of the statement to the Cabinet Office Markets and Suppliers Team) setting out full details of any Financial Distress Events that have occurred and/or the matters which could reasonably be expected to cause a Financial Distress Event.</w:t>
      </w:r>
    </w:p>
    <w:p w:rsidR="00000000" w:rsidDel="00000000" w:rsidP="00000000" w:rsidRDefault="00000000" w:rsidRPr="00000000" w14:paraId="000000B8">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Optional Clauses</w:t>
      </w:r>
    </w:p>
    <w:p w:rsidR="00000000" w:rsidDel="00000000" w:rsidP="00000000" w:rsidRDefault="00000000" w:rsidRPr="00000000" w14:paraId="000000B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Buyer’s Call-Off Contract is a Bronze Contract, if specified in the Order Form, the terms at Annex 5 shall apply to the Call-Off Contract in place of the foregoing terms of this Joint Schedule 7. </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B">
      <w:pPr>
        <w:spacing w:after="200" w:line="276" w:lineRule="auto"/>
        <w:jc w:val="left"/>
        <w:rPr>
          <w:rFonts w:ascii="Arial" w:cs="Arial" w:eastAsia="Arial" w:hAnsi="Arial"/>
          <w:b w:val="1"/>
          <w:sz w:val="24"/>
          <w:szCs w:val="24"/>
        </w:rPr>
      </w:pPr>
      <w:r w:rsidDel="00000000" w:rsidR="00000000" w:rsidRPr="00000000">
        <w:br w:type="page"/>
      </w:r>
      <w:r w:rsidDel="00000000" w:rsidR="00000000" w:rsidRPr="00000000">
        <w:rPr>
          <w:rFonts w:ascii="Arial" w:cs="Arial" w:eastAsia="Arial" w:hAnsi="Arial"/>
          <w:b w:val="1"/>
          <w:sz w:val="24"/>
          <w:szCs w:val="24"/>
          <w:rtl w:val="0"/>
        </w:rPr>
        <w:t xml:space="preserve">Annex 1: Rating Agencies and their standard Rating System</w:t>
      </w:r>
    </w:p>
    <w:p w:rsidR="00000000" w:rsidDel="00000000" w:rsidP="00000000" w:rsidRDefault="00000000" w:rsidRPr="00000000" w14:paraId="000000B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Dun &amp; Bradstreet</w:t>
      </w:r>
    </w:p>
    <w:p w:rsidR="00000000" w:rsidDel="00000000" w:rsidP="00000000" w:rsidRDefault="00000000" w:rsidRPr="00000000" w14:paraId="000000BD">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300" w:before="100" w:line="240" w:lineRule="auto"/>
        <w:ind w:left="0" w:right="0" w:firstLine="0"/>
        <w:jc w:val="both"/>
        <w:rPr>
          <w:rFonts w:ascii="Arial Bold" w:cs="Arial Bold" w:eastAsia="Arial Bold" w:hAnsi="Arial Bold"/>
          <w:b w:val="1"/>
          <w:i w:val="0"/>
          <w:smallCaps w:val="1"/>
          <w:strike w:val="0"/>
          <w:color w:val="000000"/>
          <w:sz w:val="24"/>
          <w:szCs w:val="24"/>
          <w:u w:val="none"/>
          <w:shd w:fill="auto" w:val="clear"/>
          <w:vertAlign w:val="baseline"/>
        </w:rPr>
      </w:pPr>
      <w:bookmarkStart w:colFirst="0" w:colLast="0" w:name="_heading=h.3whwml4" w:id="2"/>
      <w:bookmarkEnd w:id="2"/>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Annex 2</w:t>
      </w:r>
      <w:r w:rsidDel="00000000" w:rsidR="00000000" w:rsidRPr="00000000">
        <w:rPr>
          <w:rFonts w:ascii="Arial Bold" w:cs="Arial Bold" w:eastAsia="Arial Bold" w:hAnsi="Arial Bold"/>
          <w:b w:val="1"/>
          <w:i w:val="0"/>
          <w:smallCaps w:val="1"/>
          <w:strike w:val="0"/>
          <w:color w:val="000000"/>
          <w:sz w:val="24"/>
          <w:szCs w:val="24"/>
          <w:u w:val="none"/>
          <w:shd w:fill="auto" w:val="clear"/>
          <w:vertAlign w:val="baseline"/>
          <w:rtl w:val="0"/>
        </w:rPr>
        <w:t xml:space="preserve">: </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Credit Ratings and Credit Rating Thresholds</w:t>
      </w:r>
      <w:r w:rsidDel="00000000" w:rsidR="00000000" w:rsidRPr="00000000">
        <w:rPr>
          <w:rtl w:val="0"/>
        </w:rPr>
      </w:r>
    </w:p>
    <w:tbl>
      <w:tblPr>
        <w:tblStyle w:val="Table4"/>
        <w:tblW w:w="6161.0" w:type="dxa"/>
        <w:jc w:val="left"/>
        <w:tblInd w:w="0.0" w:type="dxa"/>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80"/>
        <w:gridCol w:w="3081"/>
        <w:tblGridChange w:id="0">
          <w:tblGrid>
            <w:gridCol w:w="3080"/>
            <w:gridCol w:w="3081"/>
          </w:tblGrid>
        </w:tblGridChange>
      </w:tblGrid>
      <w:tr>
        <w:trPr>
          <w:cantSplit w:val="0"/>
          <w:tblHeader w:val="0"/>
        </w:trPr>
        <w:tc>
          <w:tcPr>
            <w:tcBorders>
              <w:top w:color="000000" w:space="0" w:sz="4" w:val="single"/>
            </w:tcBorders>
            <w:shd w:fill="ffffff" w:val="clear"/>
          </w:tcPr>
          <w:p w:rsidR="00000000" w:rsidDel="00000000" w:rsidP="00000000" w:rsidRDefault="00000000" w:rsidRPr="00000000" w14:paraId="000000BF">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Entity</w:t>
            </w:r>
          </w:p>
        </w:tc>
        <w:tc>
          <w:tcPr>
            <w:tcBorders>
              <w:top w:color="000000" w:space="0" w:sz="4" w:val="single"/>
            </w:tcBorders>
            <w:shd w:fill="ffffff" w:val="clear"/>
          </w:tcPr>
          <w:p w:rsidR="00000000" w:rsidDel="00000000" w:rsidP="00000000" w:rsidRDefault="00000000" w:rsidRPr="00000000" w14:paraId="000000C0">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Failure Score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(long term)</w:t>
            </w:r>
          </w:p>
        </w:tc>
      </w:tr>
      <w:tr>
        <w:trPr>
          <w:cantSplit w:val="0"/>
          <w:tblHeader w:val="0"/>
        </w:trPr>
        <w:tc>
          <w:tcPr>
            <w:shd w:fill="ffffff" w:val="clear"/>
          </w:tcPr>
          <w:p w:rsidR="00000000" w:rsidDel="00000000" w:rsidP="00000000" w:rsidRDefault="00000000" w:rsidRPr="00000000" w14:paraId="000000C1">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w:t>
            </w:r>
          </w:p>
        </w:tc>
        <w:tc>
          <w:tcPr>
            <w:shd w:fill="ffffff" w:val="clear"/>
          </w:tcPr>
          <w:p w:rsidR="00000000" w:rsidDel="00000000" w:rsidP="00000000" w:rsidRDefault="00000000" w:rsidRPr="00000000" w14:paraId="000000C2">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Lot 1 &amp; 2: 40</w:t>
            </w:r>
          </w:p>
          <w:p w:rsidR="00000000" w:rsidDel="00000000" w:rsidP="00000000" w:rsidRDefault="00000000" w:rsidRPr="00000000" w14:paraId="000000C3">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Lot 3 &amp; 4: 25</w:t>
            </w:r>
          </w:p>
        </w:tc>
      </w:tr>
      <w:tr>
        <w:trPr>
          <w:cantSplit w:val="0"/>
          <w:tblHeader w:val="0"/>
        </w:trPr>
        <w:tc>
          <w:tcPr>
            <w:shd w:fill="ffffff" w:val="clear"/>
          </w:tcPr>
          <w:p w:rsidR="00000000" w:rsidDel="00000000" w:rsidP="00000000" w:rsidRDefault="00000000" w:rsidRPr="00000000" w14:paraId="000000C4">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Guarantor</w:t>
            </w:r>
          </w:p>
        </w:tc>
        <w:tc>
          <w:tcPr>
            <w:shd w:fill="ffffff" w:val="clear"/>
          </w:tcPr>
          <w:p w:rsidR="00000000" w:rsidDel="00000000" w:rsidP="00000000" w:rsidRDefault="00000000" w:rsidRPr="00000000" w14:paraId="000000C5">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Lot 1 &amp; 2: 40</w:t>
            </w:r>
          </w:p>
          <w:p w:rsidR="00000000" w:rsidDel="00000000" w:rsidP="00000000" w:rsidRDefault="00000000" w:rsidRPr="00000000" w14:paraId="000000C6">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Lot 3 &amp; 4: 25</w:t>
            </w:r>
          </w:p>
        </w:tc>
      </w:tr>
    </w:tbl>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8">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3: Calculation methodology for Financial Indicators</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it uses the following general and specific methodologies for calculating the Financial Indicators against the Financial Target Thresholds:</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single"/>
          <w:shd w:fill="auto" w:val="clear"/>
          <w:vertAlign w:val="baseline"/>
        </w:rPr>
      </w:pPr>
      <w:r w:rsidDel="00000000" w:rsidR="00000000" w:rsidRPr="00000000">
        <w:rPr>
          <w:rFonts w:ascii="Arial" w:cs="Arial" w:eastAsia="Arial" w:hAnsi="Arial"/>
          <w:b w:val="1"/>
          <w:i w:val="0"/>
          <w:smallCaps w:val="0"/>
          <w:strike w:val="0"/>
          <w:color w:val="000000"/>
          <w:sz w:val="24"/>
          <w:szCs w:val="24"/>
          <w:u w:val="single"/>
          <w:shd w:fill="auto" w:val="clear"/>
          <w:vertAlign w:val="baseline"/>
          <w:rtl w:val="0"/>
        </w:rPr>
        <w:t xml:space="preserve">General methodology</w:t>
      </w:r>
    </w:p>
    <w:p w:rsidR="00000000" w:rsidDel="00000000" w:rsidP="00000000" w:rsidRDefault="00000000" w:rsidRPr="00000000" w14:paraId="000000C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Terminology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rsidR="00000000" w:rsidDel="00000000" w:rsidP="00000000" w:rsidRDefault="00000000" w:rsidRPr="00000000" w14:paraId="000000C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3"/>
      <w:bookmarkEnd w:id="3"/>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Groups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Where the entity is the holding company of a group and prepares consolidated financial statements, the consolidated figures should be used.</w:t>
      </w:r>
    </w:p>
    <w:p w:rsidR="00000000" w:rsidDel="00000000" w:rsidP="00000000" w:rsidRDefault="00000000" w:rsidRPr="00000000" w14:paraId="000000C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Foreign currency conversion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Figures denominated in foreign currencies should be converted at the exchange rate in force at the relevant date for which the Financial Indicator is being calculated.</w:t>
      </w:r>
    </w:p>
    <w:p w:rsidR="00000000" w:rsidDel="00000000" w:rsidP="00000000" w:rsidRDefault="00000000" w:rsidRPr="00000000" w14:paraId="000000C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Treatment of non-underlying items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Financial Indicators should be based on the figures in the financial statements before adjusting for non-underlying items.</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1"/>
          <w:i w:val="0"/>
          <w:smallCaps w:val="0"/>
          <w:strike w:val="0"/>
          <w:color w:val="000000"/>
          <w:sz w:val="24"/>
          <w:szCs w:val="24"/>
          <w:u w:val="single"/>
          <w:shd w:fill="auto" w:val="clear"/>
          <w:vertAlign w:val="baseline"/>
        </w:rPr>
      </w:pPr>
      <w:bookmarkStart w:colFirst="0" w:colLast="0" w:name="_heading=h.qsh70q" w:id="4"/>
      <w:bookmarkEnd w:id="4"/>
      <w:r w:rsidDel="00000000" w:rsidR="00000000" w:rsidRPr="00000000">
        <w:rPr>
          <w:rFonts w:ascii="Arial" w:cs="Arial" w:eastAsia="Arial" w:hAnsi="Arial"/>
          <w:b w:val="1"/>
          <w:i w:val="0"/>
          <w:smallCaps w:val="0"/>
          <w:strike w:val="0"/>
          <w:color w:val="000000"/>
          <w:sz w:val="24"/>
          <w:szCs w:val="24"/>
          <w:u w:val="single"/>
          <w:shd w:fill="auto" w:val="clear"/>
          <w:vertAlign w:val="baseline"/>
          <w:rtl w:val="0"/>
        </w:rPr>
        <w:t xml:space="preserve">Specific Methodology</w:t>
      </w:r>
    </w:p>
    <w:tbl>
      <w:tblPr>
        <w:tblStyle w:val="Table5"/>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38"/>
        <w:gridCol w:w="6478"/>
        <w:tblGridChange w:id="0">
          <w:tblGrid>
            <w:gridCol w:w="2538"/>
            <w:gridCol w:w="6478"/>
          </w:tblGrid>
        </w:tblGridChange>
      </w:tblGrid>
      <w:tr>
        <w:trPr>
          <w:cantSplit w:val="0"/>
          <w:tblHeader w:val="0"/>
        </w:trPr>
        <w:tc>
          <w:tcPr>
            <w:shd w:fill="d9d9d9" w:val="clear"/>
          </w:tcPr>
          <w:p w:rsidR="00000000" w:rsidDel="00000000" w:rsidP="00000000" w:rsidRDefault="00000000" w:rsidRPr="00000000" w14:paraId="000000D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Indicator</w:t>
            </w:r>
          </w:p>
        </w:tc>
        <w:tc>
          <w:tcPr>
            <w:shd w:fill="d9d9d9" w:val="clear"/>
          </w:tcPr>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Specific Methodology</w:t>
            </w:r>
          </w:p>
        </w:tc>
      </w:tr>
      <w:tr>
        <w:trPr>
          <w:cantSplit w:val="0"/>
          <w:tblHeader w:val="0"/>
        </w:trPr>
        <w:tc>
          <w:tcPr>
            <w:vAlign w:val="center"/>
          </w:tcPr>
          <w:p w:rsidR="00000000" w:rsidDel="00000000" w:rsidP="00000000" w:rsidRDefault="00000000" w:rsidRPr="00000000" w14:paraId="000000D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highlight w:val="white"/>
                <w:u w:val="none"/>
                <w:vertAlign w:val="baseline"/>
              </w:rPr>
            </w:pPr>
            <w:r w:rsidDel="00000000" w:rsidR="00000000" w:rsidRPr="00000000">
              <w:rPr>
                <w:rFonts w:ascii="Arial" w:cs="Arial" w:eastAsia="Arial" w:hAnsi="Arial"/>
                <w:b w:val="1"/>
                <w:i w:val="0"/>
                <w:smallCaps w:val="0"/>
                <w:strike w:val="0"/>
                <w:color w:val="000000"/>
                <w:sz w:val="24"/>
                <w:szCs w:val="24"/>
                <w:highlight w:val="white"/>
                <w:u w:val="none"/>
                <w:vertAlign w:val="baseline"/>
                <w:rtl w:val="0"/>
              </w:rPr>
              <w:t xml:space="preserve">1</w:t>
            </w:r>
          </w:p>
          <w:p w:rsidR="00000000" w:rsidDel="00000000" w:rsidP="00000000" w:rsidRDefault="00000000" w:rsidRPr="00000000" w14:paraId="000000D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highlight w:val="white"/>
                <w:u w:val="none"/>
                <w:vertAlign w:val="baseline"/>
              </w:rPr>
            </w:pPr>
            <w:r w:rsidDel="00000000" w:rsidR="00000000" w:rsidRPr="00000000">
              <w:rPr>
                <w:rFonts w:ascii="Arial" w:cs="Arial" w:eastAsia="Arial" w:hAnsi="Arial"/>
                <w:b w:val="1"/>
                <w:i w:val="0"/>
                <w:smallCaps w:val="0"/>
                <w:strike w:val="0"/>
                <w:color w:val="000000"/>
                <w:sz w:val="24"/>
                <w:szCs w:val="24"/>
                <w:highlight w:val="white"/>
                <w:u w:val="none"/>
                <w:vertAlign w:val="baseline"/>
                <w:rtl w:val="0"/>
              </w:rPr>
              <w:t xml:space="preserve">Operating Margin</w:t>
            </w:r>
          </w:p>
        </w:tc>
        <w:tc>
          <w:tcPr/>
          <w:p w:rsidR="00000000" w:rsidDel="00000000" w:rsidP="00000000" w:rsidRDefault="00000000" w:rsidRPr="00000000" w14:paraId="000000D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The elements used to calculate the Operating Margin should be shown on the face of the Income Statement in a standard set of financial statements.</w:t>
            </w:r>
          </w:p>
          <w:p w:rsidR="00000000" w:rsidDel="00000000" w:rsidP="00000000" w:rsidRDefault="00000000" w:rsidRPr="00000000" w14:paraId="000000D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Figures for Operating Profit and Revenue should exclude the entity’s share of the results of any joint ventures or Associates.</w:t>
            </w:r>
          </w:p>
          <w:p w:rsidR="00000000" w:rsidDel="00000000" w:rsidP="00000000" w:rsidRDefault="00000000" w:rsidRPr="00000000" w14:paraId="000000D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Where an entity has an operating loss (i.e. where the operating profit is negative), Operating Profit should be taken to be zero.</w:t>
            </w:r>
          </w:p>
        </w:tc>
      </w:tr>
      <w:tr>
        <w:trPr>
          <w:cantSplit w:val="0"/>
          <w:tblHeader w:val="0"/>
        </w:trPr>
        <w:tc>
          <w:tcPr/>
          <w:p w:rsidR="00000000" w:rsidDel="00000000" w:rsidP="00000000" w:rsidRDefault="00000000" w:rsidRPr="00000000" w14:paraId="000000D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w:t>
            </w:r>
          </w:p>
          <w:p w:rsidR="00000000" w:rsidDel="00000000" w:rsidP="00000000" w:rsidRDefault="00000000" w:rsidRPr="00000000" w14:paraId="000000D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highlight w:val="white"/>
                <w:u w:val="none"/>
                <w:vertAlign w:val="baseline"/>
              </w:rPr>
            </w:pPr>
            <w:r w:rsidDel="00000000" w:rsidR="00000000" w:rsidRPr="00000000">
              <w:rPr>
                <w:rFonts w:ascii="Arial" w:cs="Arial" w:eastAsia="Arial" w:hAnsi="Arial"/>
                <w:b w:val="1"/>
                <w:i w:val="0"/>
                <w:smallCaps w:val="0"/>
                <w:strike w:val="0"/>
                <w:color w:val="000000"/>
                <w:sz w:val="24"/>
                <w:szCs w:val="24"/>
                <w:highlight w:val="white"/>
                <w:u w:val="none"/>
                <w:vertAlign w:val="baseline"/>
                <w:rtl w:val="0"/>
              </w:rPr>
              <w:t xml:space="preserve">Free Cash Flow to Net Debt Rati</w:t>
            </w:r>
            <w:r w:rsidDel="00000000" w:rsidR="00000000" w:rsidRPr="00000000">
              <w:rPr>
                <w:rFonts w:ascii="Arial" w:cs="Arial" w:eastAsia="Arial" w:hAnsi="Arial"/>
                <w:b w:val="1"/>
                <w:sz w:val="24"/>
                <w:szCs w:val="24"/>
                <w:highlight w:val="white"/>
                <w:rtl w:val="0"/>
              </w:rPr>
              <w:t xml:space="preserve">o</w:t>
            </w:r>
            <w:r w:rsidDel="00000000" w:rsidR="00000000" w:rsidRPr="00000000">
              <w:rPr>
                <w:rtl w:val="0"/>
              </w:rPr>
            </w:r>
          </w:p>
          <w:p w:rsidR="00000000" w:rsidDel="00000000" w:rsidP="00000000" w:rsidRDefault="00000000" w:rsidRPr="00000000" w14:paraId="000000D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OR</w:t>
            </w:r>
          </w:p>
          <w:p w:rsidR="00000000" w:rsidDel="00000000" w:rsidP="00000000" w:rsidRDefault="00000000" w:rsidRPr="00000000" w14:paraId="000000F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highlight w:val="white"/>
                <w:u w:val="none"/>
                <w:vertAlign w:val="baseline"/>
              </w:rPr>
            </w:pPr>
            <w:r w:rsidDel="00000000" w:rsidR="00000000" w:rsidRPr="00000000">
              <w:rPr>
                <w:rFonts w:ascii="Arial" w:cs="Arial" w:eastAsia="Arial" w:hAnsi="Arial"/>
                <w:b w:val="1"/>
                <w:i w:val="0"/>
                <w:smallCaps w:val="0"/>
                <w:strike w:val="0"/>
                <w:color w:val="000000"/>
                <w:sz w:val="24"/>
                <w:szCs w:val="24"/>
                <w:highlight w:val="white"/>
                <w:u w:val="none"/>
                <w:vertAlign w:val="baseline"/>
                <w:rtl w:val="0"/>
              </w:rPr>
              <w:t xml:space="preserve">Net Debt to EBITDA Ratio</w:t>
            </w:r>
          </w:p>
        </w:tc>
        <w:tc>
          <w:tcPr/>
          <w:p w:rsidR="00000000" w:rsidDel="00000000" w:rsidP="00000000" w:rsidRDefault="00000000" w:rsidRPr="00000000" w14:paraId="000000F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white"/>
                <w:u w:val="none"/>
                <w:vertAlign w:val="baseline"/>
                <w:rtl w:val="0"/>
              </w:rPr>
              <w:t xml:space="preserve">Free Cash Flow</w:t>
            </w: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 = Net Cash Flow from Operating Activities – Capital Expenditure</w:t>
            </w:r>
          </w:p>
          <w:p w:rsidR="00000000" w:rsidDel="00000000" w:rsidP="00000000" w:rsidRDefault="00000000" w:rsidRPr="00000000" w14:paraId="000000F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white"/>
                <w:u w:val="none"/>
                <w:vertAlign w:val="baseline"/>
                <w:rtl w:val="0"/>
              </w:rPr>
              <w:t xml:space="preserve">Capital Expenditure</w:t>
            </w: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 = Purchase of property, plant &amp; equipment + purchase of intangible assets</w:t>
            </w:r>
          </w:p>
          <w:p w:rsidR="00000000" w:rsidDel="00000000" w:rsidP="00000000" w:rsidRDefault="00000000" w:rsidRPr="00000000" w14:paraId="000000F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white"/>
                <w:u w:val="none"/>
                <w:vertAlign w:val="baseline"/>
                <w:rtl w:val="0"/>
              </w:rPr>
              <w:t xml:space="preserve">Net Debt</w:t>
            </w: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 = Bank overdrafts + Loans and borrowings + Finance Leases + Deferred consideration payable – Cash and cash equivalents</w:t>
            </w:r>
          </w:p>
          <w:p w:rsidR="00000000" w:rsidDel="00000000" w:rsidP="00000000" w:rsidRDefault="00000000" w:rsidRPr="00000000" w14:paraId="000000F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The majority of the elements used to calculate the Free Cash Flow to Net Debt Ratio should be shown on the face of the Statement of Cash Flows and the Balance Sheet in a standard set of financial statements.</w:t>
            </w:r>
          </w:p>
          <w:p w:rsidR="00000000" w:rsidDel="00000000" w:rsidP="00000000" w:rsidRDefault="00000000" w:rsidRPr="00000000" w14:paraId="000000F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single"/>
                <w:vertAlign w:val="baseline"/>
                <w:rtl w:val="0"/>
              </w:rPr>
              <w:t xml:space="preserve">Net Cash Flow from Operating Activities</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This should be stated after deduction of interest and tax paid.</w:t>
            </w:r>
          </w:p>
          <w:p w:rsidR="00000000" w:rsidDel="00000000" w:rsidP="00000000" w:rsidRDefault="00000000" w:rsidRPr="00000000" w14:paraId="000000F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single"/>
                <w:vertAlign w:val="baseline"/>
                <w:rtl w:val="0"/>
              </w:rPr>
              <w:t xml:space="preserve">Capital expenditure</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The elements of capital expenditure may be described slightly differently but will be found under ‘Cash flows from investing activities’ in the Statement of Cash Flows; they should be limited to the purchase of fixed assets (including intangible assets) for the business and exclude acquisitions. The figure should be shown gross without any deduction for any proceeds of sale of fixed assets.</w:t>
            </w:r>
          </w:p>
          <w:p w:rsidR="00000000" w:rsidDel="00000000" w:rsidP="00000000" w:rsidRDefault="00000000" w:rsidRPr="00000000" w14:paraId="000000F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single"/>
                <w:vertAlign w:val="baseline"/>
                <w:rtl w:val="0"/>
              </w:rPr>
              <w:t xml:space="preserve">Net Debt</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The elements of Net Debt may also be described slightly differently and should be found either on the face of the Balance Sheet or in the relevant note to the financial statements. All interest bearing liabilities (other than retirement benefit obligations) should be treated as borrowings as should, where disclosed, any liabilities (less any assets) in respect  of any hedges designated as linked to borrowings (but not non-designated hedges). Borrowings should also include balances owed to other group members.</w:t>
            </w:r>
          </w:p>
          <w:p w:rsidR="00000000" w:rsidDel="00000000" w:rsidP="00000000" w:rsidRDefault="00000000" w:rsidRPr="00000000" w14:paraId="000000F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Deferred consideration payable should be included in Net Debt despite typically being non-interest bearing.</w:t>
            </w:r>
          </w:p>
          <w:p w:rsidR="00000000" w:rsidDel="00000000" w:rsidP="00000000" w:rsidRDefault="00000000" w:rsidRPr="00000000" w14:paraId="000000F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Cash and cash equivalents should include short-term financial investments shown in current assets.</w:t>
            </w:r>
          </w:p>
          <w:p w:rsidR="00000000" w:rsidDel="00000000" w:rsidP="00000000" w:rsidRDefault="00000000" w:rsidRPr="00000000" w14:paraId="0000010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Where Net debt is negative (i.e. an entity has net cash), the relevant Financial Target Threshold should be treated as having been met.</w:t>
            </w:r>
          </w:p>
          <w:p w:rsidR="00000000" w:rsidDel="00000000" w:rsidP="00000000" w:rsidRDefault="00000000" w:rsidRPr="00000000" w14:paraId="0000010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OR</w:t>
            </w:r>
          </w:p>
          <w:p w:rsidR="00000000" w:rsidDel="00000000" w:rsidP="00000000" w:rsidRDefault="00000000" w:rsidRPr="00000000" w14:paraId="0000010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white"/>
                <w:u w:val="none"/>
                <w:vertAlign w:val="baseline"/>
                <w:rtl w:val="0"/>
              </w:rPr>
              <w:t xml:space="preserve">Net Debt</w:t>
            </w: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 = Bank overdrafts + Loans and borrowings + Finance leases + Deferred consideration payable – Cash and cash equivalents</w:t>
            </w:r>
          </w:p>
          <w:p w:rsidR="00000000" w:rsidDel="00000000" w:rsidP="00000000" w:rsidRDefault="00000000" w:rsidRPr="00000000" w14:paraId="0000010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white"/>
                <w:u w:val="none"/>
                <w:vertAlign w:val="baseline"/>
                <w:rtl w:val="0"/>
              </w:rPr>
              <w:t xml:space="preserve">EBITDA</w:t>
            </w: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 = Operating profit + Depreciation charge + Amortisation charge</w:t>
            </w:r>
          </w:p>
          <w:p w:rsidR="00000000" w:rsidDel="00000000" w:rsidP="00000000" w:rsidRDefault="00000000" w:rsidRPr="00000000" w14:paraId="0000010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The majority of the elements used to calculate the Net Debt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10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single"/>
                <w:vertAlign w:val="baseline"/>
                <w:rtl w:val="0"/>
              </w:rPr>
              <w:t xml:space="preserve">Net Debt</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not non-designated hedges). Borrowings should also include balances owed to other group members.</w:t>
            </w:r>
          </w:p>
          <w:p w:rsidR="00000000" w:rsidDel="00000000" w:rsidP="00000000" w:rsidRDefault="00000000" w:rsidRPr="00000000" w14:paraId="0000010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Deferred consideration payable should be included in Net Debt despite typically being non-interest bearing.</w:t>
            </w:r>
          </w:p>
          <w:p w:rsidR="00000000" w:rsidDel="00000000" w:rsidP="00000000" w:rsidRDefault="00000000" w:rsidRPr="00000000" w14:paraId="0000010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Cash and cash equivalents should include short-term financial investments shown in current assets.</w:t>
            </w:r>
          </w:p>
          <w:p w:rsidR="00000000" w:rsidDel="00000000" w:rsidP="00000000" w:rsidRDefault="00000000" w:rsidRPr="00000000" w14:paraId="0000010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Where Net debt is negative (i.e. an entity has net cash), the relevant Financial Target Threshold should be treated as having been met. </w:t>
            </w:r>
          </w:p>
          <w:p w:rsidR="00000000" w:rsidDel="00000000" w:rsidP="00000000" w:rsidRDefault="00000000" w:rsidRPr="00000000" w14:paraId="0000010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white"/>
                <w:u w:val="none"/>
                <w:vertAlign w:val="baseline"/>
              </w:rPr>
            </w:pPr>
            <w:bookmarkStart w:colFirst="0" w:colLast="0" w:name="_heading=h.3as4poj" w:id="5"/>
            <w:bookmarkEnd w:id="5"/>
            <w:r w:rsidDel="00000000" w:rsidR="00000000" w:rsidRPr="00000000">
              <w:rPr>
                <w:rFonts w:ascii="Arial" w:cs="Arial" w:eastAsia="Arial" w:hAnsi="Arial"/>
                <w:b w:val="0"/>
                <w:i w:val="1"/>
                <w:smallCaps w:val="0"/>
                <w:strike w:val="0"/>
                <w:color w:val="000000"/>
                <w:sz w:val="24"/>
                <w:szCs w:val="24"/>
                <w:highlight w:val="white"/>
                <w:u w:val="single"/>
                <w:vertAlign w:val="baseline"/>
                <w:rtl w:val="0"/>
              </w:rPr>
              <w:t xml:space="preserve">EBITDA</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Operating profit should be shown on the face of the Income Statement and, for the purposes of calculating this Financial Indicator, should include the entity’s share of the results of any joint ventures or Associates. </w:t>
            </w: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The depreciation and amortisation charges for the period may be found on the face of the Statement of Cash Flows or in a Note to the Accounts. Where EBITDA is negative, the relevant Financial Target Threshold should be treated as not having been met (unless Net Debt is also negative, in which case the relevant Financial Target Threshold should be treated as having been met).</w:t>
            </w:r>
          </w:p>
        </w:tc>
      </w:tr>
      <w:tr>
        <w:trPr>
          <w:cantSplit w:val="0"/>
          <w:tblHeader w:val="0"/>
        </w:trPr>
        <w:tc>
          <w:tcPr/>
          <w:p w:rsidR="00000000" w:rsidDel="00000000" w:rsidP="00000000" w:rsidRDefault="00000000" w:rsidRPr="00000000" w14:paraId="0000010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3</w:t>
            </w:r>
          </w:p>
          <w:p w:rsidR="00000000" w:rsidDel="00000000" w:rsidP="00000000" w:rsidRDefault="00000000" w:rsidRPr="00000000" w14:paraId="0000010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highlight w:val="white"/>
                <w:u w:val="none"/>
                <w:vertAlign w:val="baseline"/>
              </w:rPr>
            </w:pPr>
            <w:r w:rsidDel="00000000" w:rsidR="00000000" w:rsidRPr="00000000">
              <w:rPr>
                <w:rFonts w:ascii="Arial" w:cs="Arial" w:eastAsia="Arial" w:hAnsi="Arial"/>
                <w:b w:val="1"/>
                <w:i w:val="0"/>
                <w:smallCaps w:val="0"/>
                <w:strike w:val="0"/>
                <w:color w:val="000000"/>
                <w:sz w:val="24"/>
                <w:szCs w:val="24"/>
                <w:highlight w:val="white"/>
                <w:u w:val="none"/>
                <w:vertAlign w:val="baseline"/>
                <w:rtl w:val="0"/>
              </w:rPr>
              <w:t xml:space="preserve">Net Debt + Net  Pension Deficit to EBITDA ratio</w:t>
            </w:r>
          </w:p>
        </w:tc>
        <w:tc>
          <w:tcPr/>
          <w:p w:rsidR="00000000" w:rsidDel="00000000" w:rsidP="00000000" w:rsidRDefault="00000000" w:rsidRPr="00000000" w14:paraId="0000010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white"/>
                <w:u w:val="none"/>
                <w:vertAlign w:val="baseline"/>
                <w:rtl w:val="0"/>
              </w:rPr>
              <w:t xml:space="preserve">Net Debt</w:t>
            </w: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 = Bank overdrafts + Loans and borrowings + Finance leases + Deferred consideration payable – Cash and cash equivalents</w:t>
            </w:r>
          </w:p>
          <w:p w:rsidR="00000000" w:rsidDel="00000000" w:rsidP="00000000" w:rsidRDefault="00000000" w:rsidRPr="00000000" w14:paraId="0000010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white"/>
                <w:u w:val="none"/>
                <w:vertAlign w:val="baseline"/>
                <w:rtl w:val="0"/>
              </w:rPr>
              <w:t xml:space="preserve">Net Pension Deficit</w:t>
            </w: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 = Retirement Benefit Obligations – Retirement Benefit Assets</w:t>
            </w:r>
          </w:p>
          <w:p w:rsidR="00000000" w:rsidDel="00000000" w:rsidP="00000000" w:rsidRDefault="00000000" w:rsidRPr="00000000" w14:paraId="0000010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white"/>
                <w:u w:val="none"/>
                <w:vertAlign w:val="baseline"/>
                <w:rtl w:val="0"/>
              </w:rPr>
              <w:t xml:space="preserve">EBITDA</w:t>
            </w: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 = Operating profit + Depreciation charge + Amortisation charge</w:t>
            </w:r>
          </w:p>
          <w:p w:rsidR="00000000" w:rsidDel="00000000" w:rsidP="00000000" w:rsidRDefault="00000000" w:rsidRPr="00000000" w14:paraId="0000010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The majority of the elements used to calculate the Net Debt + Net Pension Deficit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11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single"/>
                <w:vertAlign w:val="baseline"/>
                <w:rtl w:val="0"/>
              </w:rPr>
              <w:t xml:space="preserve">Net Debt</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w:t>
            </w: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not</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non-designated hedges). Borrowings should also include balances owed to other group members.</w:t>
            </w:r>
          </w:p>
          <w:p w:rsidR="00000000" w:rsidDel="00000000" w:rsidP="00000000" w:rsidRDefault="00000000" w:rsidRPr="00000000" w14:paraId="0000011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Deferred consideration payable should be included in Net Debt despite typically being non-interest bearing.</w:t>
            </w:r>
          </w:p>
          <w:p w:rsidR="00000000" w:rsidDel="00000000" w:rsidP="00000000" w:rsidRDefault="00000000" w:rsidRPr="00000000" w14:paraId="0000011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Cash and cash equivalents should include short-term financial investments shown in current assets.</w:t>
            </w:r>
          </w:p>
          <w:p w:rsidR="00000000" w:rsidDel="00000000" w:rsidP="00000000" w:rsidRDefault="00000000" w:rsidRPr="00000000" w14:paraId="0000011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single"/>
                <w:vertAlign w:val="baseline"/>
                <w:rtl w:val="0"/>
              </w:rPr>
              <w:t xml:space="preserve">Net Pension Deficit</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Retirement Benefit Obligations and Retirement Benefit Assets may be shown on the face of the Balance Sheet or in the notes to the financial statements. They may also be described as pension benefits / obligations, post-employment obligations or other similar terms. </w:t>
            </w:r>
          </w:p>
          <w:p w:rsidR="00000000" w:rsidDel="00000000" w:rsidP="00000000" w:rsidRDefault="00000000" w:rsidRPr="00000000" w14:paraId="0000011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Where ‘Net Debt + Net Pension Deficit’ is negative, the relevant Financial Target Threshold should be treated as having been met.</w:t>
            </w:r>
          </w:p>
          <w:p w:rsidR="00000000" w:rsidDel="00000000" w:rsidP="00000000" w:rsidRDefault="00000000" w:rsidRPr="00000000" w14:paraId="0000011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single"/>
                <w:vertAlign w:val="baseline"/>
                <w:rtl w:val="0"/>
              </w:rPr>
              <w:t xml:space="preserve">EBITDA</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Operating profit should be shown on the face of the Income Statement and, for the purposes of calculating this Financial Indicator, should include the entity’s share of the results of any joint ventures or Associates.</w:t>
            </w:r>
          </w:p>
          <w:p w:rsidR="00000000" w:rsidDel="00000000" w:rsidP="00000000" w:rsidRDefault="00000000" w:rsidRPr="00000000" w14:paraId="0000011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bookmarkStart w:colFirst="0" w:colLast="0" w:name="_heading=h.1pxezwc" w:id="6"/>
            <w:bookmarkEnd w:id="6"/>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The depreciation and amortisation charges for the period may be found on the face of the Statement of Cash Flows or in a Note to the Accounts. </w:t>
            </w:r>
          </w:p>
          <w:p w:rsidR="00000000" w:rsidDel="00000000" w:rsidP="00000000" w:rsidRDefault="00000000" w:rsidRPr="00000000" w14:paraId="0000011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Where EBITDA is negative, the relevant Financial Target Threshold should be treated as not having been met (unless ‘Net Debt + Net Pension Deficit’ is also negative, in which case the relevant Financial Target Threshold should be regarded as having been met).</w:t>
            </w:r>
          </w:p>
        </w:tc>
      </w:tr>
      <w:tr>
        <w:trPr>
          <w:cantSplit w:val="0"/>
          <w:tblHeader w:val="0"/>
        </w:trPr>
        <w:tc>
          <w:tcPr>
            <w:vAlign w:val="center"/>
          </w:tcPr>
          <w:p w:rsidR="00000000" w:rsidDel="00000000" w:rsidP="00000000" w:rsidRDefault="00000000" w:rsidRPr="00000000" w14:paraId="0000011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highlight w:val="white"/>
                <w:u w:val="none"/>
                <w:vertAlign w:val="baseline"/>
              </w:rPr>
            </w:pPr>
            <w:r w:rsidDel="00000000" w:rsidR="00000000" w:rsidRPr="00000000">
              <w:rPr>
                <w:rFonts w:ascii="Arial" w:cs="Arial" w:eastAsia="Arial" w:hAnsi="Arial"/>
                <w:b w:val="1"/>
                <w:i w:val="0"/>
                <w:smallCaps w:val="0"/>
                <w:strike w:val="0"/>
                <w:color w:val="000000"/>
                <w:sz w:val="24"/>
                <w:szCs w:val="24"/>
                <w:highlight w:val="white"/>
                <w:u w:val="none"/>
                <w:vertAlign w:val="baseline"/>
                <w:rtl w:val="0"/>
              </w:rPr>
              <w:t xml:space="preserve">4</w:t>
            </w:r>
          </w:p>
          <w:p w:rsidR="00000000" w:rsidDel="00000000" w:rsidP="00000000" w:rsidRDefault="00000000" w:rsidRPr="00000000" w14:paraId="0000011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highlight w:val="white"/>
                <w:u w:val="none"/>
                <w:vertAlign w:val="baseline"/>
              </w:rPr>
            </w:pPr>
            <w:r w:rsidDel="00000000" w:rsidR="00000000" w:rsidRPr="00000000">
              <w:rPr>
                <w:rFonts w:ascii="Arial" w:cs="Arial" w:eastAsia="Arial" w:hAnsi="Arial"/>
                <w:b w:val="1"/>
                <w:i w:val="0"/>
                <w:smallCaps w:val="0"/>
                <w:strike w:val="0"/>
                <w:color w:val="000000"/>
                <w:sz w:val="24"/>
                <w:szCs w:val="24"/>
                <w:highlight w:val="white"/>
                <w:u w:val="none"/>
                <w:vertAlign w:val="baseline"/>
                <w:rtl w:val="0"/>
              </w:rPr>
              <w:t xml:space="preserve">Net Interest Paid Cover</w:t>
            </w:r>
          </w:p>
        </w:tc>
        <w:tc>
          <w:tcPr/>
          <w:p w:rsidR="00000000" w:rsidDel="00000000" w:rsidP="00000000" w:rsidRDefault="00000000" w:rsidRPr="00000000" w14:paraId="0000011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white"/>
                <w:u w:val="none"/>
                <w:vertAlign w:val="baseline"/>
                <w:rtl w:val="0"/>
              </w:rPr>
              <w:t xml:space="preserve">Earnings Before Interest and Tax</w:t>
            </w: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 = Operating profit</w:t>
            </w:r>
          </w:p>
          <w:p w:rsidR="00000000" w:rsidDel="00000000" w:rsidP="00000000" w:rsidRDefault="00000000" w:rsidRPr="00000000" w14:paraId="0000011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white"/>
                <w:u w:val="none"/>
                <w:vertAlign w:val="baseline"/>
                <w:rtl w:val="0"/>
              </w:rPr>
              <w:t xml:space="preserve">Net Interest Paid</w:t>
            </w: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 = Interest paid – Interest received</w:t>
            </w:r>
          </w:p>
          <w:p w:rsidR="00000000" w:rsidDel="00000000" w:rsidP="00000000" w:rsidRDefault="00000000" w:rsidRPr="00000000" w14:paraId="0000011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Operating profit should be shown on the face of the Income Statement in a standard set of financial statements and, for the purposes of calculating this Financial Indicator, should include the entity’s share of the results of any joint ventures or Associates.</w:t>
            </w:r>
          </w:p>
          <w:p w:rsidR="00000000" w:rsidDel="00000000" w:rsidP="00000000" w:rsidRDefault="00000000" w:rsidRPr="00000000" w14:paraId="0000011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Interest received and interest paid should be shown on the face of the Cash Flow statement.</w:t>
            </w:r>
          </w:p>
          <w:p w:rsidR="00000000" w:rsidDel="00000000" w:rsidP="00000000" w:rsidRDefault="00000000" w:rsidRPr="00000000" w14:paraId="0000011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Where Net interest paid is negative (i.e. the entity has net interest received), the relevant Financial Target Threshold should be treated as having been met.</w:t>
            </w:r>
          </w:p>
        </w:tc>
      </w:tr>
      <w:tr>
        <w:trPr>
          <w:cantSplit w:val="0"/>
          <w:tblHeader w:val="0"/>
        </w:trPr>
        <w:tc>
          <w:tcPr>
            <w:vAlign w:val="center"/>
          </w:tcPr>
          <w:p w:rsidR="00000000" w:rsidDel="00000000" w:rsidP="00000000" w:rsidRDefault="00000000" w:rsidRPr="00000000" w14:paraId="0000011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highlight w:val="white"/>
                <w:u w:val="none"/>
                <w:vertAlign w:val="baseline"/>
              </w:rPr>
            </w:pPr>
            <w:r w:rsidDel="00000000" w:rsidR="00000000" w:rsidRPr="00000000">
              <w:rPr>
                <w:rFonts w:ascii="Arial" w:cs="Arial" w:eastAsia="Arial" w:hAnsi="Arial"/>
                <w:b w:val="1"/>
                <w:i w:val="0"/>
                <w:smallCaps w:val="0"/>
                <w:strike w:val="0"/>
                <w:color w:val="000000"/>
                <w:sz w:val="24"/>
                <w:szCs w:val="24"/>
                <w:highlight w:val="white"/>
                <w:u w:val="none"/>
                <w:vertAlign w:val="baseline"/>
                <w:rtl w:val="0"/>
              </w:rPr>
              <w:t xml:space="preserve">5</w:t>
            </w:r>
          </w:p>
          <w:p w:rsidR="00000000" w:rsidDel="00000000" w:rsidP="00000000" w:rsidRDefault="00000000" w:rsidRPr="00000000" w14:paraId="0000012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highlight w:val="white"/>
                <w:u w:val="none"/>
                <w:vertAlign w:val="baseline"/>
              </w:rPr>
            </w:pPr>
            <w:r w:rsidDel="00000000" w:rsidR="00000000" w:rsidRPr="00000000">
              <w:rPr>
                <w:rFonts w:ascii="Arial" w:cs="Arial" w:eastAsia="Arial" w:hAnsi="Arial"/>
                <w:b w:val="1"/>
                <w:i w:val="0"/>
                <w:smallCaps w:val="0"/>
                <w:strike w:val="0"/>
                <w:color w:val="000000"/>
                <w:sz w:val="24"/>
                <w:szCs w:val="24"/>
                <w:highlight w:val="white"/>
                <w:u w:val="none"/>
                <w:vertAlign w:val="baseline"/>
                <w:rtl w:val="0"/>
              </w:rPr>
              <w:t xml:space="preserve">Acid Ratio</w:t>
            </w:r>
          </w:p>
        </w:tc>
        <w:tc>
          <w:tcPr/>
          <w:p w:rsidR="00000000" w:rsidDel="00000000" w:rsidP="00000000" w:rsidRDefault="00000000" w:rsidRPr="00000000" w14:paraId="0000012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All elements that are used to calculate the Acid Ratio are available on the face of the Balance Sheet in a standard set of financial statements.</w:t>
            </w:r>
          </w:p>
        </w:tc>
      </w:tr>
      <w:tr>
        <w:trPr>
          <w:cantSplit w:val="0"/>
          <w:tblHeader w:val="0"/>
        </w:trPr>
        <w:tc>
          <w:tcPr>
            <w:vAlign w:val="center"/>
          </w:tcPr>
          <w:p w:rsidR="00000000" w:rsidDel="00000000" w:rsidP="00000000" w:rsidRDefault="00000000" w:rsidRPr="00000000" w14:paraId="0000012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highlight w:val="white"/>
                <w:u w:val="none"/>
                <w:vertAlign w:val="baseline"/>
              </w:rPr>
            </w:pPr>
            <w:r w:rsidDel="00000000" w:rsidR="00000000" w:rsidRPr="00000000">
              <w:rPr>
                <w:rFonts w:ascii="Arial" w:cs="Arial" w:eastAsia="Arial" w:hAnsi="Arial"/>
                <w:b w:val="1"/>
                <w:i w:val="0"/>
                <w:smallCaps w:val="0"/>
                <w:strike w:val="0"/>
                <w:color w:val="000000"/>
                <w:sz w:val="24"/>
                <w:szCs w:val="24"/>
                <w:highlight w:val="white"/>
                <w:u w:val="none"/>
                <w:vertAlign w:val="baseline"/>
                <w:rtl w:val="0"/>
              </w:rPr>
              <w:t xml:space="preserve">6</w:t>
            </w:r>
          </w:p>
          <w:p w:rsidR="00000000" w:rsidDel="00000000" w:rsidP="00000000" w:rsidRDefault="00000000" w:rsidRPr="00000000" w14:paraId="0000012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highlight w:val="white"/>
                <w:u w:val="none"/>
                <w:vertAlign w:val="baseline"/>
              </w:rPr>
            </w:pPr>
            <w:r w:rsidDel="00000000" w:rsidR="00000000" w:rsidRPr="00000000">
              <w:rPr>
                <w:rFonts w:ascii="Arial" w:cs="Arial" w:eastAsia="Arial" w:hAnsi="Arial"/>
                <w:b w:val="1"/>
                <w:i w:val="0"/>
                <w:smallCaps w:val="0"/>
                <w:strike w:val="0"/>
                <w:color w:val="000000"/>
                <w:sz w:val="24"/>
                <w:szCs w:val="24"/>
                <w:highlight w:val="white"/>
                <w:u w:val="none"/>
                <w:vertAlign w:val="baseline"/>
                <w:rtl w:val="0"/>
              </w:rPr>
              <w:t xml:space="preserve">Net Asset value</w:t>
            </w:r>
          </w:p>
        </w:tc>
        <w:tc>
          <w:tcPr/>
          <w:p w:rsidR="00000000" w:rsidDel="00000000" w:rsidP="00000000" w:rsidRDefault="00000000" w:rsidRPr="00000000" w14:paraId="0000012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Net Assets are shown (but sometimes not labelled) on the face of the Balance Sheet of a standard set of financial statements. Net Assets are sometimes called net worth or ‘Shareholders’ Funds’. They represent the net assets available to the shareholders. Where an entity has a majority interest in another entity in which there are also minority or non-controlling interests (i.e. where it has a subsidiary partially owned by outside investors), Net Assets should be taken inclusive of minority or non-controlling interests (as if the entity owned 100% of such entity).</w:t>
            </w:r>
          </w:p>
        </w:tc>
      </w:tr>
      <w:tr>
        <w:trPr>
          <w:cantSplit w:val="0"/>
          <w:tblHeader w:val="0"/>
        </w:trPr>
        <w:tc>
          <w:tcPr>
            <w:vAlign w:val="center"/>
          </w:tcPr>
          <w:p w:rsidR="00000000" w:rsidDel="00000000" w:rsidP="00000000" w:rsidRDefault="00000000" w:rsidRPr="00000000" w14:paraId="0000012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highlight w:val="white"/>
                <w:u w:val="none"/>
                <w:vertAlign w:val="baseline"/>
              </w:rPr>
            </w:pPr>
            <w:r w:rsidDel="00000000" w:rsidR="00000000" w:rsidRPr="00000000">
              <w:rPr>
                <w:rFonts w:ascii="Arial" w:cs="Arial" w:eastAsia="Arial" w:hAnsi="Arial"/>
                <w:b w:val="1"/>
                <w:i w:val="0"/>
                <w:smallCaps w:val="0"/>
                <w:strike w:val="0"/>
                <w:color w:val="000000"/>
                <w:sz w:val="24"/>
                <w:szCs w:val="24"/>
                <w:highlight w:val="white"/>
                <w:u w:val="none"/>
                <w:vertAlign w:val="baseline"/>
                <w:rtl w:val="0"/>
              </w:rPr>
              <w:t xml:space="preserve">7</w:t>
            </w:r>
          </w:p>
          <w:p w:rsidR="00000000" w:rsidDel="00000000" w:rsidP="00000000" w:rsidRDefault="00000000" w:rsidRPr="00000000" w14:paraId="0000012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highlight w:val="white"/>
                <w:u w:val="none"/>
                <w:vertAlign w:val="baseline"/>
              </w:rPr>
            </w:pPr>
            <w:r w:rsidDel="00000000" w:rsidR="00000000" w:rsidRPr="00000000">
              <w:rPr>
                <w:rFonts w:ascii="Arial" w:cs="Arial" w:eastAsia="Arial" w:hAnsi="Arial"/>
                <w:b w:val="1"/>
                <w:i w:val="0"/>
                <w:smallCaps w:val="0"/>
                <w:strike w:val="0"/>
                <w:color w:val="000000"/>
                <w:sz w:val="24"/>
                <w:szCs w:val="24"/>
                <w:highlight w:val="white"/>
                <w:u w:val="none"/>
                <w:vertAlign w:val="baseline"/>
                <w:rtl w:val="0"/>
              </w:rPr>
              <w:t xml:space="preserve">Group Exposure Ratio</w:t>
            </w:r>
          </w:p>
        </w:tc>
        <w:tc>
          <w:tcPr/>
          <w:p w:rsidR="00000000" w:rsidDel="00000000" w:rsidP="00000000" w:rsidRDefault="00000000" w:rsidRPr="00000000" w14:paraId="0000012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white"/>
                <w:u w:val="none"/>
                <w:vertAlign w:val="baseline"/>
                <w:rtl w:val="0"/>
              </w:rPr>
              <w:t xml:space="preserve">Group Exposure</w:t>
            </w: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 = Balances owed by Group Undertakings + Contingent liabilities assumed in support of Group Undertakings</w:t>
            </w:r>
          </w:p>
          <w:p w:rsidR="00000000" w:rsidDel="00000000" w:rsidP="00000000" w:rsidRDefault="00000000" w:rsidRPr="00000000" w14:paraId="0000012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white"/>
                <w:u w:val="none"/>
                <w:vertAlign w:val="baseline"/>
                <w:rtl w:val="0"/>
              </w:rPr>
              <w:t xml:space="preserve">Gross Assets</w:t>
            </w: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 = Fixed Assets + Current Assets</w:t>
            </w:r>
          </w:p>
          <w:p w:rsidR="00000000" w:rsidDel="00000000" w:rsidP="00000000" w:rsidRDefault="00000000" w:rsidRPr="00000000" w14:paraId="0000012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single"/>
                <w:vertAlign w:val="baseline"/>
                <w:rtl w:val="0"/>
              </w:rPr>
              <w:t xml:space="preserve">Group Exposure</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Balances owed by (</w:t>
            </w:r>
            <w:r w:rsidDel="00000000" w:rsidR="00000000" w:rsidRPr="00000000">
              <w:rPr>
                <w:rFonts w:ascii="Arial" w:cs="Arial" w:eastAsia="Arial" w:hAnsi="Arial"/>
                <w:sz w:val="24"/>
                <w:szCs w:val="24"/>
                <w:highlight w:val="white"/>
                <w:rtl w:val="0"/>
              </w:rPr>
              <w:t xml:space="preserve">i.e. receivable</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from) Group Undertakings are shown within Fixed assets or Current assets either on the face of the Balance Sheet or in the relevant notes to the financial statements. In many cases there may be no such balances, in particular where an entity is not a member of a group or is itself the ultimate holding company of the group.</w:t>
            </w:r>
          </w:p>
          <w:p w:rsidR="00000000" w:rsidDel="00000000" w:rsidP="00000000" w:rsidRDefault="00000000" w:rsidRPr="00000000" w14:paraId="0000012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Contingent liabilities assumed in support of Group Undertakings are shown in the Contingent Liabilities note in a standard set of financial statements. They include guarantees and security given in support of the borrowings of other group companies, often as part of group borrowing arrangements. Where the contingent liabilities are capped, the capped figure should be taken as their value. Where no cap or maximum is specified, the relevant Financial Target Threshold should automatically be regarded as not having been met.</w:t>
            </w:r>
          </w:p>
          <w:p w:rsidR="00000000" w:rsidDel="00000000" w:rsidP="00000000" w:rsidRDefault="00000000" w:rsidRPr="00000000" w14:paraId="0000012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In many cases an entity may not have assumed any contingent liabilities in support of Group Undertakings, in particular where an entity is not a member of a group or is itself the ultimate holding company of the group.</w:t>
            </w:r>
          </w:p>
          <w:p w:rsidR="00000000" w:rsidDel="00000000" w:rsidP="00000000" w:rsidRDefault="00000000" w:rsidRPr="00000000" w14:paraId="0000012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single"/>
                <w:vertAlign w:val="baseline"/>
                <w:rtl w:val="0"/>
              </w:rPr>
              <w:t xml:space="preserve">Gross Assets</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Both Fixed assets and Current assets are shown on the face of the Balance Sheet</w:t>
            </w:r>
          </w:p>
        </w:tc>
      </w:tr>
      <w:tr>
        <w:trPr>
          <w:cantSplit w:val="0"/>
          <w:tblHeader w:val="0"/>
        </w:trPr>
        <w:tc>
          <w:tcPr>
            <w:vAlign w:val="center"/>
          </w:tcPr>
          <w:p w:rsidR="00000000" w:rsidDel="00000000" w:rsidP="00000000" w:rsidRDefault="00000000" w:rsidRPr="00000000" w14:paraId="0000012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8</w:t>
            </w:r>
          </w:p>
          <w:p w:rsidR="00000000" w:rsidDel="00000000" w:rsidP="00000000" w:rsidRDefault="00000000" w:rsidRPr="00000000" w14:paraId="0000012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additional Financial Indicators as necessary]</w:t>
            </w:r>
            <w:r w:rsidDel="00000000" w:rsidR="00000000" w:rsidRPr="00000000">
              <w:rPr>
                <w:rtl w:val="0"/>
              </w:rPr>
            </w:r>
          </w:p>
        </w:tc>
        <w:tc>
          <w:tcPr/>
          <w:p w:rsidR="00000000" w:rsidDel="00000000" w:rsidP="00000000" w:rsidRDefault="00000000" w:rsidRPr="00000000" w14:paraId="0000012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yellow"/>
                <w:u w:val="single"/>
                <w:vertAlign w:val="baseline"/>
              </w:rPr>
            </w:pPr>
            <w:r w:rsidDel="00000000" w:rsidR="00000000" w:rsidRPr="00000000">
              <w:rPr>
                <w:rFonts w:ascii="Arial" w:cs="Arial" w:eastAsia="Arial" w:hAnsi="Arial"/>
                <w:b w:val="0"/>
                <w:i w:val="1"/>
                <w:smallCaps w:val="0"/>
                <w:strike w:val="0"/>
                <w:color w:val="000000"/>
                <w:sz w:val="24"/>
                <w:szCs w:val="24"/>
                <w:highlight w:val="yellow"/>
                <w:u w:val="single"/>
                <w:vertAlign w:val="baseline"/>
                <w:rtl w:val="0"/>
              </w:rPr>
              <w:t xml:space="preserve">[Etc..]</w:t>
            </w:r>
          </w:p>
        </w:tc>
      </w:tr>
    </w:tbl>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1">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spacing w:after="300" w:before="100" w:line="240" w:lineRule="auto"/>
        <w:ind w:left="0" w:right="0" w:firstLine="0"/>
        <w:jc w:val="left"/>
        <w:rPr>
          <w:rFonts w:ascii="Arial Bold" w:cs="Arial Bold" w:eastAsia="Arial Bold" w:hAnsi="Arial Bold"/>
          <w:b w:val="1"/>
          <w:i w:val="0"/>
          <w:smallCaps w:val="1"/>
          <w:strike w:val="0"/>
          <w:color w:val="000000"/>
          <w:sz w:val="24"/>
          <w:szCs w:val="24"/>
          <w:u w:val="none"/>
          <w:shd w:fill="auto" w:val="clear"/>
          <w:vertAlign w:val="baseline"/>
        </w:rPr>
      </w:pPr>
      <w:bookmarkStart w:colFirst="0" w:colLast="0" w:name="_heading=h.49x2ik5" w:id="7"/>
      <w:bookmarkEnd w:id="7"/>
      <w:r w:rsidDel="00000000" w:rsidR="00000000" w:rsidRPr="00000000">
        <w:rPr>
          <w:rFonts w:ascii="Arial Bold" w:cs="Arial Bold" w:eastAsia="Arial Bold" w:hAnsi="Arial Bold"/>
          <w:b w:val="1"/>
          <w:i w:val="0"/>
          <w:smallCaps w:val="1"/>
          <w:strike w:val="0"/>
          <w:color w:val="000000"/>
          <w:sz w:val="24"/>
          <w:szCs w:val="24"/>
          <w:u w:val="none"/>
          <w:shd w:fill="auto" w:val="clear"/>
          <w:vertAlign w:val="baseline"/>
          <w:rtl w:val="0"/>
        </w:rPr>
        <w:t xml:space="preserve">Annex 4: Board Confirmation</w:t>
      </w:r>
    </w:p>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Name:</w:t>
      </w:r>
    </w:p>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Reference Number:</w:t>
      </w:r>
    </w:p>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p2csry"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Board of Directors acknowledge the requirements set out at paragraph 8 of Joint Schedule 7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Financial Distress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confirm that the Supplier has exercised due care and diligence and made reasonable enquiry of all relevant Supplier Staff and other persons as is reasonably necessary to enable the Board to prepare this statement.</w:t>
      </w:r>
    </w:p>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Board of Directors confirms, to the best of its knowledge and belief, that as at the date of this Board Confirmation it is not aware of and has no knowledge:</w:t>
      </w:r>
    </w:p>
    <w:p w:rsidR="00000000" w:rsidDel="00000000" w:rsidP="00000000" w:rsidRDefault="00000000" w:rsidRPr="00000000" w14:paraId="00000139">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720"/>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a Financial Distress Event has occurred since the later of the previous Board Confirmation and the Effective Date or is subsisting; or</w:t>
      </w:r>
      <w:r w:rsidDel="00000000" w:rsidR="00000000" w:rsidRPr="00000000">
        <w:rPr>
          <w:rtl w:val="0"/>
        </w:rPr>
      </w:r>
    </w:p>
    <w:p w:rsidR="00000000" w:rsidDel="00000000" w:rsidP="00000000" w:rsidRDefault="00000000" w:rsidRPr="00000000" w14:paraId="0000013A">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720"/>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any matters which have occurred or are subsisting that could reasonably be expected to cause a Financial Distress Event</w:t>
      </w:r>
      <w:r w:rsidDel="00000000" w:rsidR="00000000" w:rsidRPr="00000000">
        <w:rPr>
          <w:rtl w:val="0"/>
        </w:rPr>
      </w:r>
    </w:p>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behalf of the Board of Directors:</w:t>
      </w:r>
    </w:p>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Chair</w:t>
        <w:tab/>
        <w:tab/>
        <w:t xml:space="preserve">…………………………………</w:t>
      </w:r>
    </w:p>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Signed</w:t>
        <w:tab/>
        <w:tab/>
        <w:t xml:space="preserve">…………………………………</w:t>
      </w:r>
    </w:p>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tab/>
        <w:tab/>
        <w:t xml:space="preserve">…………………………………</w:t>
      </w:r>
    </w:p>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Director</w:t>
        <w:tab/>
        <w:tab/>
        <w:t xml:space="preserve">…………………………………</w:t>
      </w:r>
    </w:p>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Signed</w:t>
        <w:tab/>
        <w:tab/>
        <w:t xml:space="preserve">…………………………………</w:t>
      </w:r>
    </w:p>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tab/>
        <w:tab/>
        <w:t xml:space="preserve">…………………………………</w:t>
      </w:r>
    </w:p>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6">
      <w:pPr>
        <w:spacing w:after="200" w:line="276" w:lineRule="auto"/>
        <w:jc w:val="left"/>
        <w:rPr>
          <w:rFonts w:ascii="Arial" w:cs="Arial" w:eastAsia="Arial" w:hAnsi="Arial"/>
          <w:sz w:val="36"/>
          <w:szCs w:val="36"/>
        </w:rPr>
      </w:pPr>
      <w:r w:rsidDel="00000000" w:rsidR="00000000" w:rsidRPr="00000000">
        <w:br w:type="page"/>
      </w:r>
      <w:r w:rsidDel="00000000" w:rsidR="00000000" w:rsidRPr="00000000">
        <w:rPr>
          <w:rtl w:val="0"/>
        </w:rPr>
      </w:r>
    </w:p>
    <w:p w:rsidR="00000000" w:rsidDel="00000000" w:rsidP="00000000" w:rsidRDefault="00000000" w:rsidRPr="00000000" w14:paraId="00000147">
      <w:pPr>
        <w:spacing w:after="200" w:line="276" w:lineRule="auto"/>
        <w:jc w:val="left"/>
        <w:rPr>
          <w:rFonts w:ascii="Arial" w:cs="Arial" w:eastAsia="Arial" w:hAnsi="Arial"/>
          <w:sz w:val="36"/>
          <w:szCs w:val="36"/>
        </w:rPr>
      </w:pPr>
      <w:r w:rsidDel="00000000" w:rsidR="00000000" w:rsidRPr="00000000">
        <w:rPr>
          <w:rtl w:val="0"/>
        </w:rPr>
      </w:r>
    </w:p>
    <w:p w:rsidR="00000000" w:rsidDel="00000000" w:rsidP="00000000" w:rsidRDefault="00000000" w:rsidRPr="00000000" w14:paraId="00000148">
      <w:pPr>
        <w:spacing w:after="200" w:line="276" w:lineRule="auto"/>
        <w:jc w:val="left"/>
        <w:rPr>
          <w:rFonts w:ascii="Arial" w:cs="Arial" w:eastAsia="Arial" w:hAnsi="Arial"/>
          <w:b w:val="1"/>
          <w:smallCaps w:val="1"/>
          <w:sz w:val="36"/>
          <w:szCs w:val="36"/>
        </w:rPr>
      </w:pPr>
      <w:r w:rsidDel="00000000" w:rsidR="00000000" w:rsidRPr="00000000">
        <w:rPr>
          <w:rFonts w:ascii="Arial" w:cs="Arial" w:eastAsia="Arial" w:hAnsi="Arial"/>
          <w:b w:val="1"/>
          <w:smallCaps w:val="1"/>
          <w:sz w:val="36"/>
          <w:szCs w:val="36"/>
          <w:rtl w:val="0"/>
        </w:rPr>
        <w:t xml:space="preserve">ANNEX 5: OPTIONAL CLAUSES FOR BRONZE CONTRACTS</w:t>
      </w:r>
    </w:p>
    <w:p w:rsidR="00000000" w:rsidDel="00000000" w:rsidP="00000000" w:rsidRDefault="00000000" w:rsidRPr="00000000" w14:paraId="00000149">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14A">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93" w:right="0" w:hanging="70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Annex 5, the following words shall have the following meanings and they shall supplement Joint Schedule 1 (Definitions):</w:t>
      </w:r>
    </w:p>
    <w:tbl>
      <w:tblPr>
        <w:tblStyle w:val="Table6"/>
        <w:tblW w:w="7560.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462"/>
        <w:gridCol w:w="5098"/>
        <w:tblGridChange w:id="0">
          <w:tblGrid>
            <w:gridCol w:w="2462"/>
            <w:gridCol w:w="5098"/>
          </w:tblGrid>
        </w:tblGridChange>
      </w:tblGrid>
      <w:tr>
        <w:trPr>
          <w:cantSplit w:val="0"/>
          <w:tblHeader w:val="0"/>
        </w:trPr>
        <w:tc>
          <w:tcPr/>
          <w:p w:rsidR="00000000" w:rsidDel="00000000" w:rsidP="00000000" w:rsidRDefault="00000000" w:rsidRPr="00000000" w14:paraId="0000014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Threshold"</w:t>
            </w:r>
          </w:p>
        </w:tc>
        <w:tc>
          <w:tcPr/>
          <w:p w:rsidR="00000000" w:rsidDel="00000000" w:rsidP="00000000" w:rsidRDefault="00000000" w:rsidRPr="00000000" w14:paraId="0000014C">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minimum credit rating level for the Monitored Company as set out in Appendix 2;</w:t>
            </w:r>
          </w:p>
        </w:tc>
      </w:tr>
      <w:tr>
        <w:trPr>
          <w:cantSplit w:val="0"/>
          <w:tblHeader w:val="0"/>
        </w:trPr>
        <w:tc>
          <w:tcPr/>
          <w:p w:rsidR="00000000" w:rsidDel="00000000" w:rsidP="00000000" w:rsidRDefault="00000000" w:rsidRPr="00000000" w14:paraId="0000014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Event"</w:t>
            </w:r>
          </w:p>
        </w:tc>
        <w:tc>
          <w:tcPr/>
          <w:p w:rsidR="00000000" w:rsidDel="00000000" w:rsidP="00000000" w:rsidRDefault="00000000" w:rsidRPr="00000000" w14:paraId="0000014E">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occurrence or one or more of the following events:</w:t>
            </w:r>
          </w:p>
          <w:p w:rsidR="00000000" w:rsidDel="00000000" w:rsidP="00000000" w:rsidRDefault="00000000" w:rsidRPr="00000000" w14:paraId="0000014F">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credit rating of the Monitored Company dropping below the applicable Credit Rating Threshold;</w:t>
            </w:r>
          </w:p>
          <w:p w:rsidR="00000000" w:rsidDel="00000000" w:rsidP="00000000" w:rsidRDefault="00000000" w:rsidRPr="00000000" w14:paraId="00000150">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Monitored Company issuing a profits warning to a stock exchange or making any other public announcement about a material deterioration in its financial position or prospects;</w:t>
            </w:r>
          </w:p>
          <w:p w:rsidR="00000000" w:rsidDel="00000000" w:rsidP="00000000" w:rsidRDefault="00000000" w:rsidRPr="00000000" w14:paraId="00000151">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being a public investigation into improper financial accounting and reporting, suspected fraud or any other impropriety of the Monitored Party; </w:t>
            </w:r>
          </w:p>
          <w:p w:rsidR="00000000" w:rsidDel="00000000" w:rsidP="00000000" w:rsidRDefault="00000000" w:rsidRPr="00000000" w14:paraId="00000152">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Monitored Company committing a material breach of covenant to its lenders; </w:t>
            </w:r>
          </w:p>
          <w:p w:rsidR="00000000" w:rsidDel="00000000" w:rsidP="00000000" w:rsidRDefault="00000000" w:rsidRPr="00000000" w14:paraId="00000153">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Key Subcontractor (where applicable) notifying CCS that the Supplier has not satisfied any sums properly due under a specified invoice and not subject to a genuine dispute; or</w:t>
            </w:r>
          </w:p>
          <w:p w:rsidR="00000000" w:rsidDel="00000000" w:rsidP="00000000" w:rsidRDefault="00000000" w:rsidRPr="00000000" w14:paraId="00000154">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following:</w:t>
            </w:r>
          </w:p>
          <w:p w:rsidR="00000000" w:rsidDel="00000000" w:rsidP="00000000" w:rsidRDefault="00000000" w:rsidRPr="00000000" w14:paraId="00000155">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commencement of any litigation against the Monitored Company with respect to financial indebtedness or obligations under a contract; </w:t>
            </w:r>
          </w:p>
          <w:p w:rsidR="00000000" w:rsidDel="00000000" w:rsidP="00000000" w:rsidRDefault="00000000" w:rsidRPr="00000000" w14:paraId="00000156">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non-payment by the Monitored Company of any financial indebtedness;</w:t>
            </w:r>
          </w:p>
          <w:p w:rsidR="00000000" w:rsidDel="00000000" w:rsidP="00000000" w:rsidRDefault="00000000" w:rsidRPr="00000000" w14:paraId="00000157">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financial indebtedness of the Monitored Company becoming due as a result of an event of default; or</w:t>
            </w:r>
          </w:p>
          <w:p w:rsidR="00000000" w:rsidDel="00000000" w:rsidP="00000000" w:rsidRDefault="00000000" w:rsidRPr="00000000" w14:paraId="00000158">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cancellation or suspension of any financial indebtedness in respect of the Monitored Company</w:t>
            </w:r>
          </w:p>
          <w:p w:rsidR="00000000" w:rsidDel="00000000" w:rsidP="00000000" w:rsidRDefault="00000000" w:rsidRPr="00000000" w14:paraId="00000159">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each case which the Relevant Authority reasonably believes (or would be likely reasonably to believe) could directly impact on the continued performance of any Contract and delivery of the Deliverables in accordance with any Call-Off Contract;</w:t>
            </w:r>
          </w:p>
        </w:tc>
      </w:tr>
      <w:tr>
        <w:trPr>
          <w:cantSplit w:val="0"/>
          <w:tblHeader w:val="0"/>
        </w:trPr>
        <w:tc>
          <w:tcPr/>
          <w:p w:rsidR="00000000" w:rsidDel="00000000" w:rsidP="00000000" w:rsidRDefault="00000000" w:rsidRPr="00000000" w14:paraId="0000015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Service Continuity Plan"</w:t>
            </w:r>
          </w:p>
        </w:tc>
        <w:tc>
          <w:tcPr/>
          <w:p w:rsidR="00000000" w:rsidDel="00000000" w:rsidP="00000000" w:rsidRDefault="00000000" w:rsidRPr="00000000" w14:paraId="0000015B">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 setting out how the Supplier will ensure the continued performance and delivery of the Deliverables in accordance with [each Call-Off] Contract in the event that a Financial Distress Event occurs;</w:t>
            </w:r>
          </w:p>
        </w:tc>
      </w:tr>
      <w:tr>
        <w:trPr>
          <w:cantSplit w:val="0"/>
          <w:tblHeader w:val="0"/>
        </w:trPr>
        <w:tc>
          <w:tcPr/>
          <w:p w:rsidR="00000000" w:rsidDel="00000000" w:rsidP="00000000" w:rsidRDefault="00000000" w:rsidRPr="00000000" w14:paraId="0000015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“Monitored Company”</w:t>
            </w:r>
          </w:p>
        </w:tc>
        <w:tc>
          <w:tcPr/>
          <w:p w:rsidR="00000000" w:rsidDel="00000000" w:rsidP="00000000" w:rsidRDefault="00000000" w:rsidRPr="00000000" w14:paraId="0000015D">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lier [the Guarantor] or any Key Subcontractor]</w:t>
            </w:r>
            <w:r w:rsidDel="00000000" w:rsidR="00000000" w:rsidRPr="00000000">
              <w:rPr>
                <w:rtl w:val="0"/>
              </w:rPr>
            </w:r>
          </w:p>
        </w:tc>
      </w:tr>
      <w:tr>
        <w:trPr>
          <w:cantSplit w:val="0"/>
          <w:tblHeader w:val="0"/>
        </w:trPr>
        <w:tc>
          <w:tcPr/>
          <w:p w:rsidR="00000000" w:rsidDel="00000000" w:rsidP="00000000" w:rsidRDefault="00000000" w:rsidRPr="00000000" w14:paraId="0000015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"Rating Agencies"</w:t>
            </w:r>
          </w:p>
        </w:tc>
        <w:tc>
          <w:tcPr/>
          <w:p w:rsidR="00000000" w:rsidDel="00000000" w:rsidP="00000000" w:rsidRDefault="00000000" w:rsidRPr="00000000" w14:paraId="0000015F">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rating agencies listed in Appendix 1.</w:t>
            </w:r>
          </w:p>
        </w:tc>
      </w:tr>
    </w:tbl>
    <w:p w:rsidR="00000000" w:rsidDel="00000000" w:rsidP="00000000" w:rsidRDefault="00000000" w:rsidRPr="00000000" w14:paraId="00000160">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147n2zr" w:id="9"/>
      <w:bookmarkEnd w:id="9"/>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this Schedule applies</w:t>
      </w:r>
      <w:r w:rsidDel="00000000" w:rsidR="00000000" w:rsidRPr="00000000">
        <w:rPr>
          <w:rtl w:val="0"/>
        </w:rPr>
      </w:r>
    </w:p>
    <w:p w:rsidR="00000000" w:rsidDel="00000000" w:rsidP="00000000" w:rsidRDefault="00000000" w:rsidRPr="00000000" w14:paraId="00000161">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93" w:right="0" w:hanging="70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comply with the provisions of this Annex 5 in relation to the assessment of the financial standing of the Monitored Companies and the consequences of a change to that financial standing.</w:t>
      </w:r>
    </w:p>
    <w:p w:rsidR="00000000" w:rsidDel="00000000" w:rsidP="00000000" w:rsidRDefault="00000000" w:rsidRPr="00000000" w14:paraId="00000162">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93" w:right="0" w:hanging="70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terms of this Annex 5 shall survive: </w:t>
      </w:r>
    </w:p>
    <w:p w:rsidR="00000000" w:rsidDel="00000000" w:rsidP="00000000" w:rsidRDefault="00000000" w:rsidRPr="00000000" w14:paraId="0000016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985" w:right="0" w:hanging="99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rsidR="00000000" w:rsidDel="00000000" w:rsidP="00000000" w:rsidRDefault="00000000" w:rsidRPr="00000000" w14:paraId="0000016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985" w:right="0" w:hanging="99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the Call-Off Contract until the termination or expiry of the Call-Off Contract.</w:t>
      </w:r>
    </w:p>
    <w:p w:rsidR="00000000" w:rsidDel="00000000" w:rsidP="00000000" w:rsidRDefault="00000000" w:rsidRPr="00000000" w14:paraId="00000165">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hat happens when your credit rating changes</w:t>
      </w:r>
      <w:r w:rsidDel="00000000" w:rsidR="00000000" w:rsidRPr="00000000">
        <w:rPr>
          <w:rtl w:val="0"/>
        </w:rPr>
      </w:r>
    </w:p>
    <w:p w:rsidR="00000000" w:rsidDel="00000000" w:rsidP="00000000" w:rsidRDefault="00000000" w:rsidRPr="00000000" w14:paraId="0000016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93" w:right="0" w:hanging="709"/>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o7alnk"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and represents to the Relevant Authority that as at the Start Date the long term credit ratings issued for the Monitored Companies by each of the Rating Agencies are as set out in Appendix 2. </w:t>
      </w:r>
    </w:p>
    <w:p w:rsidR="00000000" w:rsidDel="00000000" w:rsidP="00000000" w:rsidRDefault="00000000" w:rsidRPr="00000000" w14:paraId="0000016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93" w:right="0" w:hanging="70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(and in any event within five (5) Working Days) notify the Relevant Authority in writing if there is any downgrade in the credit rating issued by any Rating Agency for a Monitored Company.</w:t>
      </w:r>
    </w:p>
    <w:p w:rsidR="00000000" w:rsidDel="00000000" w:rsidP="00000000" w:rsidRDefault="00000000" w:rsidRPr="00000000" w14:paraId="0000016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93" w:right="0" w:hanging="70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is any downgrade credit rating issued by any Rating Agency for the Monitored Company the Supplier shall ensure that the Monitored Company’s auditors thereafter provide the Relevant Authority within 10 Working Days of the end of each Contract Year and within 10 Working Days of written request by the Relevant Authority (such requests not to exceed 4 in any Contract Year) with the written calculations reque</w:t>
      </w:r>
      <w:r w:rsidDel="00000000" w:rsidR="00000000" w:rsidRPr="00000000">
        <w:rPr>
          <w:rFonts w:ascii="Arial" w:cs="Arial" w:eastAsia="Arial" w:hAnsi="Arial"/>
          <w:sz w:val="24"/>
          <w:szCs w:val="24"/>
          <w:rtl w:val="0"/>
        </w:rPr>
        <w:t xml:space="preserve">sted by the Relevant Authority.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 </w:t>
      </w:r>
    </w:p>
    <w:p w:rsidR="00000000" w:rsidDel="00000000" w:rsidP="00000000" w:rsidRDefault="00000000" w:rsidRPr="00000000" w14:paraId="0000016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985" w:right="0" w:hanging="99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regularly monitor the credit ratings of each Monitored Company with the Rating Agencies; and </w:t>
      </w:r>
    </w:p>
    <w:p w:rsidR="00000000" w:rsidDel="00000000" w:rsidP="00000000" w:rsidRDefault="00000000" w:rsidRPr="00000000" w14:paraId="0000016A">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985" w:right="0" w:hanging="992"/>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ihv636"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000000" w:rsidDel="00000000" w:rsidP="00000000" w:rsidRDefault="00000000" w:rsidRPr="00000000" w14:paraId="0000016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93" w:right="0" w:hanging="70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p>
    <w:p w:rsidR="00000000" w:rsidDel="00000000" w:rsidP="00000000" w:rsidRDefault="00000000" w:rsidRPr="00000000" w14:paraId="0000016C">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financial distress event</w:t>
      </w:r>
      <w:r w:rsidDel="00000000" w:rsidR="00000000" w:rsidRPr="00000000">
        <w:rPr>
          <w:rtl w:val="0"/>
        </w:rPr>
      </w:r>
    </w:p>
    <w:p w:rsidR="00000000" w:rsidDel="00000000" w:rsidP="00000000" w:rsidRDefault="00000000" w:rsidRPr="00000000" w14:paraId="0000016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93" w:right="0" w:hanging="709"/>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2hioqz"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 Financial Distress Event then, immediately upon notification of the Financial Distress Event (or if the Relevant Authority becomes aware of the Financial Distress Event without notification and brings the event to the attention of the Supplier), the Supplier shall have the obligations and the Relevant Authority shall have the rights and remedies as set out in Paragraphs 4.3 to 4.6 of this Annex 5.</w:t>
      </w:r>
    </w:p>
    <w:p w:rsidR="00000000" w:rsidDel="00000000" w:rsidP="00000000" w:rsidRDefault="00000000" w:rsidRPr="00000000" w14:paraId="0000016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93" w:right="0" w:hanging="70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a Financial Distress Event arises due to a Key Subcontractor notifying the Relevant Authority that the Supplier has not satisfied any sums properly due under a specified invoice and not subject to a genuine dispute then, the Relevant Authority shall not exercise any of its rights or remedies under Paragraph 4.3 of this Annex 5 without first giving the Supplier ten (10) Working Days to:</w:t>
      </w:r>
    </w:p>
    <w:p w:rsidR="00000000" w:rsidDel="00000000" w:rsidP="00000000" w:rsidRDefault="00000000" w:rsidRPr="00000000" w14:paraId="0000016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985" w:right="0" w:hanging="99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rectify such late or non-payment; or </w:t>
      </w:r>
    </w:p>
    <w:p w:rsidR="00000000" w:rsidDel="00000000" w:rsidP="00000000" w:rsidRDefault="00000000" w:rsidRPr="00000000" w14:paraId="0000017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985" w:right="0" w:hanging="99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demonstrate to the Relevant Authority's reasonable satisfaction that there is a valid reason for late or non-payment.]</w:t>
      </w:r>
    </w:p>
    <w:p w:rsidR="00000000" w:rsidDel="00000000" w:rsidP="00000000" w:rsidRDefault="00000000" w:rsidRPr="00000000" w14:paraId="00000171">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93" w:right="0" w:hanging="709"/>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grqrue"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the other Monitored Companies shall:</w:t>
      </w:r>
    </w:p>
    <w:p w:rsidR="00000000" w:rsidDel="00000000" w:rsidP="00000000" w:rsidRDefault="00000000" w:rsidRPr="00000000" w14:paraId="0000017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985" w:right="0" w:hanging="992"/>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vx1227"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request of the Relevant Authority meet the Relevant Authority as soon as reasonably practicable (and in any event within three (3) Working Days of the initial notification (or awareness) of the Financial Distress Event) to review the effect of the Financial Distress Event on the continued performance of each Contract and delivery of the Deliverables in accordance each Call-Off Contract; and</w:t>
      </w:r>
    </w:p>
    <w:p w:rsidR="00000000" w:rsidDel="00000000" w:rsidP="00000000" w:rsidRDefault="00000000" w:rsidRPr="00000000" w14:paraId="0000017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985" w:right="0" w:hanging="992"/>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fwokq0"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Relevant Authority reasonably believes (taking into account the discussions and any representations made under Paragraph 4.3.1 of this Annex 5) that the Financial Distress Event could impact on the continued performance of each Contract and delivery of the Deliverables in accordance with each Call-Off Contract: </w:t>
      </w:r>
    </w:p>
    <w:p w:rsidR="00000000" w:rsidDel="00000000" w:rsidP="00000000" w:rsidRDefault="00000000" w:rsidRPr="00000000" w14:paraId="00000174">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submit to the Relevant Authority for its Approval, a draft Financial Distress Service Continuity Plan as soon as reasonably practicable (and in any event, within ten (10) Working Days of the initial notification (or awareness) of the Financial Distress Event); and</w:t>
      </w:r>
    </w:p>
    <w:p w:rsidR="00000000" w:rsidDel="00000000" w:rsidP="00000000" w:rsidRDefault="00000000" w:rsidRPr="00000000" w14:paraId="00000175">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v1yuxt"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such financial information relating to the Monitored Company as the Relevant Authority may reasonably require.</w:t>
      </w:r>
    </w:p>
    <w:p w:rsidR="00000000" w:rsidDel="00000000" w:rsidP="00000000" w:rsidRDefault="00000000" w:rsidRPr="00000000" w14:paraId="0000017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93" w:right="0" w:hanging="709"/>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f1mdlm"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Relevant Authority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the Relevant Authority within five (5) Working Days of the rejection of the first or subsequent (as the case may be) drafts. This process shall be repeated until the Financial Distress Service Continuity Plan is Approved by the Relevant Authority or referred to the Dispute Resolution Procedure.</w:t>
      </w:r>
    </w:p>
    <w:p w:rsidR="00000000" w:rsidDel="00000000" w:rsidP="00000000" w:rsidRDefault="00000000" w:rsidRPr="00000000" w14:paraId="0000017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93" w:right="0" w:hanging="709"/>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u6wntf"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Relevant Authority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 </w:t>
      </w:r>
    </w:p>
    <w:p w:rsidR="00000000" w:rsidDel="00000000" w:rsidP="00000000" w:rsidRDefault="00000000" w:rsidRPr="00000000" w14:paraId="0000017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93" w:right="0" w:hanging="709"/>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9c6y18"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Approval of the Financial Distress Service Continuity Plan by the Relevant Authority, the Supplier shall:</w:t>
      </w:r>
    </w:p>
    <w:p w:rsidR="00000000" w:rsidDel="00000000" w:rsidP="00000000" w:rsidRDefault="00000000" w:rsidRPr="00000000" w14:paraId="0000017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985" w:right="0" w:hanging="992"/>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tbugp1"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a regular basis (which shall not be less than Monthly), review the Financial Distress Service Continuity Plan and assess whether it remains adequate and up to date to ensure the continued </w:t>
      </w:r>
      <w:r w:rsidDel="00000000" w:rsidR="00000000" w:rsidRPr="00000000">
        <w:rPr>
          <w:rFonts w:ascii="Arial" w:cs="Arial" w:eastAsia="Arial" w:hAnsi="Arial"/>
          <w:sz w:val="24"/>
          <w:szCs w:val="24"/>
          <w:rtl w:val="0"/>
        </w:rPr>
        <w:t xml:space="preserve">performance of each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and delivery of the Deliverables in accordance with each Call-Off Contract;</w:t>
      </w:r>
    </w:p>
    <w:p w:rsidR="00000000" w:rsidDel="00000000" w:rsidP="00000000" w:rsidRDefault="00000000" w:rsidRPr="00000000" w14:paraId="0000017A">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985" w:right="0" w:hanging="992"/>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8h4qwu"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Financial Distress Service Continuity Plan is not adequate or up to date in accordance with Paragraph 4.6.1 of this Annex 5, submit an updated Financial Distress Service Continuity Plan to CCS for its Approval, and the provisions of Paragraphs 4.5 and 4.6 of this Annex 5 shall apply to the review and Approval process for the updated Financial Distress Service Continuity Plan; and </w:t>
      </w:r>
    </w:p>
    <w:p w:rsidR="00000000" w:rsidDel="00000000" w:rsidP="00000000" w:rsidRDefault="00000000" w:rsidRPr="00000000" w14:paraId="0000017B">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985" w:right="0" w:hanging="992"/>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nmf14n"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Financial Distress Service Continuity Plan (including any updated Financial Distress Service Continuity Plan).</w:t>
      </w:r>
    </w:p>
    <w:p w:rsidR="00000000" w:rsidDel="00000000" w:rsidP="00000000" w:rsidRDefault="00000000" w:rsidRPr="00000000" w14:paraId="0000017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93" w:right="0" w:hanging="709"/>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7m2jsg"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reasonably believes that the relevant Financial Distress Event (or the circumstance or matter which has caused or otherwise led to it) no longer exists, it shall notify the Relevant Authority and subject to the agreement of the Parties, the Supplier may be relieved of its obligations under Paragraph 4.6 of this Annex 5. </w:t>
      </w:r>
    </w:p>
    <w:p w:rsidR="00000000" w:rsidDel="00000000" w:rsidP="00000000" w:rsidRDefault="00000000" w:rsidRPr="00000000" w14:paraId="0000017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93" w:right="0" w:hanging="70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be able to share any information it receives from the Buyer in accordance with this Paragraph with any Buyer who has entered into a Call-Off Contract with the Supplier.</w:t>
      </w:r>
    </w:p>
    <w:p w:rsidR="00000000" w:rsidDel="00000000" w:rsidP="00000000" w:rsidRDefault="00000000" w:rsidRPr="00000000" w14:paraId="0000017E">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CCS or the Buyer can terminate for financial distress </w:t>
      </w:r>
      <w:r w:rsidDel="00000000" w:rsidR="00000000" w:rsidRPr="00000000">
        <w:rPr>
          <w:rtl w:val="0"/>
        </w:rPr>
      </w:r>
    </w:p>
    <w:p w:rsidR="00000000" w:rsidDel="00000000" w:rsidP="00000000" w:rsidRDefault="00000000" w:rsidRPr="00000000" w14:paraId="0000017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93" w:right="0" w:hanging="709"/>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mrcu09"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be entitled to terminate this Contract and Buyers shall be entitled to terminate their Call-Off Contracts for material Default if: </w:t>
      </w:r>
    </w:p>
    <w:p w:rsidR="00000000" w:rsidDel="00000000" w:rsidP="00000000" w:rsidRDefault="00000000" w:rsidRPr="00000000" w14:paraId="0000018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985" w:right="0" w:hanging="99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notify the Relevant Authority of a Financial Distress Event in accordance with Paragraph 3.4 of this Annex 5; </w:t>
      </w:r>
    </w:p>
    <w:p w:rsidR="00000000" w:rsidDel="00000000" w:rsidP="00000000" w:rsidRDefault="00000000" w:rsidRPr="00000000" w14:paraId="0000018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985" w:right="0" w:hanging="99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and the Supplier fail to agree a Financial Distress Service Continuity Plan (or any updated Financial Distress Service Continuity Plan) in accordance with Paragraphs 4.3 to 4.5 of this Annex 5; and/or</w:t>
      </w:r>
    </w:p>
    <w:p w:rsidR="00000000" w:rsidDel="00000000" w:rsidP="00000000" w:rsidRDefault="00000000" w:rsidRPr="00000000" w14:paraId="0000018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985" w:right="0" w:hanging="99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comply with the terms of the Financial Distress Service Continuity Plan (or any updated Financial Distress Service Continuity Plan) in accordance with Paragraph 4.6.3 of this Annex 5.</w:t>
      </w:r>
    </w:p>
    <w:p w:rsidR="00000000" w:rsidDel="00000000" w:rsidP="00000000" w:rsidRDefault="00000000" w:rsidRPr="00000000" w14:paraId="00000183">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93" w:right="0" w:hanging="70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Contract is terminated in accordance with Paragraph 5.1, Clauses 10.6.1 and 10.6.2 of the Core Terms shall apply as if the Contract had been terminated under Clause 10.4.1 of the Core Terms.</w:t>
      </w:r>
    </w:p>
    <w:p w:rsidR="00000000" w:rsidDel="00000000" w:rsidP="00000000" w:rsidRDefault="00000000" w:rsidRPr="00000000" w14:paraId="00000184">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46r0co2" w:id="25"/>
      <w:bookmarkEnd w:id="25"/>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your credit rating is still good</w:t>
      </w:r>
      <w:r w:rsidDel="00000000" w:rsidR="00000000" w:rsidRPr="00000000">
        <w:rPr>
          <w:rtl w:val="0"/>
        </w:rPr>
      </w:r>
    </w:p>
    <w:p w:rsidR="00000000" w:rsidDel="00000000" w:rsidP="00000000" w:rsidRDefault="00000000" w:rsidRPr="00000000" w14:paraId="0000018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93" w:right="0" w:hanging="70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Supplier’s obligations and CCS’ and the Buyer’s rights and remedies under Paragraph 5 of this Annex 5, if, following the occurrence of a Financial Distress Event, the Rating Agencies review and report subsequently that the credit ratings do not drop below the relevant Credit Rating Threshold, then:</w:t>
      </w:r>
    </w:p>
    <w:p w:rsidR="00000000" w:rsidDel="00000000" w:rsidP="00000000" w:rsidRDefault="00000000" w:rsidRPr="00000000" w14:paraId="0000018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985" w:right="0" w:hanging="99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relieved automatically of its obligations under Paragraphs 4.3 to 4.6 of this Annex 5; and</w:t>
      </w:r>
    </w:p>
    <w:p w:rsidR="00000000" w:rsidDel="00000000" w:rsidP="00000000" w:rsidRDefault="00000000" w:rsidRPr="00000000" w14:paraId="0000018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985" w:right="0" w:hanging="99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shall not be entitled to require the Supplier to provide financial information in accordance with Paragraph 4.3.2(b) of this Annex 5. </w:t>
      </w:r>
    </w:p>
    <w:p w:rsidR="00000000" w:rsidDel="00000000" w:rsidP="00000000" w:rsidRDefault="00000000" w:rsidRPr="00000000" w14:paraId="00000188">
      <w:pPr>
        <w:rPr/>
      </w:pPr>
      <w:r w:rsidDel="00000000" w:rsidR="00000000" w:rsidRPr="00000000">
        <w:rPr>
          <w:rtl w:val="0"/>
        </w:rPr>
      </w:r>
    </w:p>
    <w:p w:rsidR="00000000" w:rsidDel="00000000" w:rsidP="00000000" w:rsidRDefault="00000000" w:rsidRPr="00000000" w14:paraId="000001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fffff"/>
          <w:sz w:val="24"/>
          <w:szCs w:val="24"/>
          <w:u w:val="none"/>
          <w:shd w:fill="auto" w:val="clear"/>
          <w:vertAlign w:val="baseline"/>
        </w:rPr>
      </w:pPr>
      <w:bookmarkStart w:colFirst="0" w:colLast="0" w:name="_heading=h.4i7ojhp" w:id="26"/>
      <w:bookmarkEnd w:id="26"/>
      <w:r w:rsidDel="00000000" w:rsidR="00000000" w:rsidRPr="00000000">
        <w:rPr>
          <w:rtl w:val="0"/>
        </w:rPr>
      </w:r>
    </w:p>
    <w:p w:rsidR="00000000" w:rsidDel="00000000" w:rsidP="00000000" w:rsidRDefault="00000000" w:rsidRPr="00000000" w14:paraId="0000018A">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2lwamvv" w:id="27"/>
      <w:bookmarkEnd w:id="27"/>
      <w:r w:rsidDel="00000000" w:rsidR="00000000" w:rsidRPr="00000000">
        <w:br w:type="page"/>
      </w:r>
      <w:r w:rsidDel="00000000" w:rsidR="00000000" w:rsidRPr="00000000">
        <w:rPr>
          <w:rtl w:val="0"/>
        </w:rPr>
      </w:r>
    </w:p>
    <w:p w:rsidR="00000000" w:rsidDel="00000000" w:rsidP="00000000" w:rsidRDefault="00000000" w:rsidRPr="00000000" w14:paraId="0000018B">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36"/>
          <w:szCs w:val="36"/>
          <w:u w:val="none"/>
          <w:shd w:fill="auto" w:val="clear"/>
          <w:vertAlign w:val="baseline"/>
        </w:rPr>
      </w:pPr>
      <w:bookmarkStart w:colFirst="0" w:colLast="0" w:name="_heading=h.111kx3o" w:id="28"/>
      <w:bookmarkEnd w:id="28"/>
      <w:r w:rsidDel="00000000" w:rsidR="00000000" w:rsidRPr="00000000">
        <w:rPr>
          <w:rFonts w:ascii="Arial" w:cs="Arial" w:eastAsia="Arial" w:hAnsi="Arial"/>
          <w:b w:val="1"/>
          <w:i w:val="0"/>
          <w:smallCaps w:val="1"/>
          <w:strike w:val="0"/>
          <w:color w:val="000000"/>
          <w:sz w:val="36"/>
          <w:szCs w:val="36"/>
          <w:u w:val="none"/>
          <w:shd w:fill="auto" w:val="clear"/>
          <w:vertAlign w:val="baseline"/>
          <w:rtl w:val="0"/>
        </w:rPr>
        <w:t xml:space="preserve">Appendix 1: RATING AGENCIES</w:t>
      </w:r>
    </w:p>
    <w:p w:rsidR="00000000" w:rsidDel="00000000" w:rsidP="00000000" w:rsidRDefault="00000000" w:rsidRPr="00000000" w14:paraId="0000018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Dun &amp; Bradstreet</w:t>
      </w:r>
    </w:p>
    <w:p w:rsidR="00000000" w:rsidDel="00000000" w:rsidP="00000000" w:rsidRDefault="00000000" w:rsidRPr="00000000" w14:paraId="0000018D">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3l18frh" w:id="29"/>
      <w:bookmarkEnd w:id="29"/>
      <w:r w:rsidDel="00000000" w:rsidR="00000000" w:rsidRPr="00000000">
        <w:br w:type="page"/>
      </w:r>
      <w:r w:rsidDel="00000000" w:rsidR="00000000" w:rsidRPr="00000000">
        <w:rPr>
          <w:rFonts w:ascii="Arial" w:cs="Arial" w:eastAsia="Arial" w:hAnsi="Arial"/>
          <w:b w:val="1"/>
          <w:i w:val="0"/>
          <w:smallCaps w:val="1"/>
          <w:strike w:val="0"/>
          <w:color w:val="000000"/>
          <w:sz w:val="36"/>
          <w:szCs w:val="36"/>
          <w:u w:val="none"/>
          <w:shd w:fill="auto" w:val="clear"/>
          <w:vertAlign w:val="baseline"/>
          <w:rtl w:val="0"/>
        </w:rPr>
        <w:t xml:space="preserve">Appendix 2: CREDIT RATINGS &amp; CREDIT RATING THRESHOLDS</w:t>
      </w:r>
      <w:r w:rsidDel="00000000" w:rsidR="00000000" w:rsidRPr="00000000">
        <w:rPr>
          <w:rtl w:val="0"/>
        </w:rPr>
      </w:r>
    </w:p>
    <w:p w:rsidR="00000000" w:rsidDel="00000000" w:rsidP="00000000" w:rsidRDefault="00000000" w:rsidRPr="00000000" w14:paraId="0000018E">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 1: Current Rating</w:t>
      </w:r>
      <w:r w:rsidDel="00000000" w:rsidR="00000000" w:rsidRPr="00000000">
        <w:rPr>
          <w:rtl w:val="0"/>
        </w:rPr>
      </w:r>
    </w:p>
    <w:tbl>
      <w:tblPr>
        <w:tblStyle w:val="Table7"/>
        <w:tblW w:w="6168.000000000001" w:type="dxa"/>
        <w:jc w:val="left"/>
        <w:tblInd w:w="0.0" w:type="dxa"/>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80"/>
        <w:gridCol w:w="3081"/>
        <w:gridCol w:w="7"/>
        <w:tblGridChange w:id="0">
          <w:tblGrid>
            <w:gridCol w:w="3080"/>
            <w:gridCol w:w="3081"/>
            <w:gridCol w:w="7"/>
          </w:tblGrid>
        </w:tblGridChange>
      </w:tblGrid>
      <w:tr>
        <w:trPr>
          <w:cantSplit w:val="0"/>
          <w:tblHeader w:val="0"/>
        </w:trPr>
        <w:tc>
          <w:tcPr>
            <w:tcBorders>
              <w:top w:color="000000" w:space="0" w:sz="4" w:val="single"/>
            </w:tcBorders>
            <w:shd w:fill="ffffff" w:val="clear"/>
          </w:tcPr>
          <w:p w:rsidR="00000000" w:rsidDel="00000000" w:rsidP="00000000" w:rsidRDefault="00000000" w:rsidRPr="00000000" w14:paraId="0000018F">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Entity</w:t>
            </w:r>
          </w:p>
        </w:tc>
        <w:tc>
          <w:tcPr>
            <w:tcBorders>
              <w:top w:color="000000" w:space="0" w:sz="4" w:val="single"/>
            </w:tcBorders>
            <w:shd w:fill="ffffff" w:val="clear"/>
          </w:tcPr>
          <w:p w:rsidR="00000000" w:rsidDel="00000000" w:rsidP="00000000" w:rsidRDefault="00000000" w:rsidRPr="00000000" w14:paraId="00000190">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Failure Score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(long term)</w:t>
            </w:r>
          </w:p>
        </w:tc>
      </w:tr>
      <w:tr>
        <w:trPr>
          <w:cantSplit w:val="0"/>
          <w:tblHeader w:val="0"/>
        </w:trPr>
        <w:tc>
          <w:tcPr>
            <w:shd w:fill="ffffff" w:val="clear"/>
          </w:tcPr>
          <w:p w:rsidR="00000000" w:rsidDel="00000000" w:rsidP="00000000" w:rsidRDefault="00000000" w:rsidRPr="00000000" w14:paraId="00000191">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w:t>
            </w:r>
          </w:p>
        </w:tc>
        <w:tc>
          <w:tcPr>
            <w:gridSpan w:val="2"/>
            <w:shd w:fill="ffffff" w:val="clear"/>
          </w:tcPr>
          <w:p w:rsidR="00000000" w:rsidDel="00000000" w:rsidP="00000000" w:rsidRDefault="00000000" w:rsidRPr="00000000" w14:paraId="00000192">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25</w:t>
            </w:r>
          </w:p>
        </w:tc>
      </w:tr>
      <w:tr>
        <w:trPr>
          <w:cantSplit w:val="0"/>
          <w:tblHeader w:val="0"/>
        </w:trPr>
        <w:tc>
          <w:tcPr>
            <w:shd w:fill="ffffff" w:val="clear"/>
          </w:tcPr>
          <w:p w:rsidR="00000000" w:rsidDel="00000000" w:rsidP="00000000" w:rsidRDefault="00000000" w:rsidRPr="00000000" w14:paraId="00000194">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Guarantor</w:t>
            </w:r>
          </w:p>
        </w:tc>
        <w:tc>
          <w:tcPr>
            <w:gridSpan w:val="2"/>
            <w:shd w:fill="ffffff" w:val="clear"/>
          </w:tcPr>
          <w:p w:rsidR="00000000" w:rsidDel="00000000" w:rsidP="00000000" w:rsidRDefault="00000000" w:rsidRPr="00000000" w14:paraId="00000195">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25</w:t>
            </w:r>
          </w:p>
        </w:tc>
      </w:tr>
    </w:tbl>
    <w:p w:rsidR="00000000" w:rsidDel="00000000" w:rsidP="00000000" w:rsidRDefault="00000000" w:rsidRPr="00000000" w14:paraId="00000197">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98">
      <w:pPr>
        <w:spacing w:after="200" w:line="276" w:lineRule="auto"/>
        <w:jc w:val="left"/>
        <w:rPr>
          <w:rFonts w:ascii="Arial" w:cs="Arial" w:eastAsia="Arial" w:hAnsi="Arial"/>
          <w:sz w:val="24"/>
          <w:szCs w:val="24"/>
        </w:rPr>
      </w:pPr>
      <w:r w:rsidDel="00000000" w:rsidR="00000000" w:rsidRPr="00000000">
        <w:rPr>
          <w:rtl w:val="0"/>
        </w:rPr>
      </w:r>
    </w:p>
    <w:sectPr>
      <w:headerReference r:id="rId8" w:type="defaul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9B">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RM6261</w:t>
      <w:tab/>
      <w:t xml:space="preserve">                                           </w:t>
    </w:r>
  </w:p>
  <w:p w:rsidR="00000000" w:rsidDel="00000000" w:rsidP="00000000" w:rsidRDefault="00000000" w:rsidRPr="00000000" w14:paraId="0000019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w:t>
    </w:r>
    <w:r w:rsidDel="00000000" w:rsidR="00000000" w:rsidRPr="00000000">
      <w:rPr>
        <w:rFonts w:ascii="Arial" w:cs="Arial" w:eastAsia="Arial" w:hAnsi="Arial"/>
        <w:sz w:val="20"/>
        <w:szCs w:val="20"/>
        <w:rtl w:val="0"/>
      </w:rPr>
      <w:t xml:space="preserve">2</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9D">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v3.4</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9E">
    <w:pPr>
      <w:tabs>
        <w:tab w:val="center" w:pos="4513"/>
        <w:tab w:val="right"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19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Calibri" w:cs="Calibri" w:eastAsia="Calibri" w:hAnsi="Calibri"/>
        <w:b w:val="0"/>
        <w:i w:val="0"/>
        <w:smallCaps w:val="0"/>
        <w:strike w:val="0"/>
        <w:color w:val="bfbfbf"/>
        <w:sz w:val="22"/>
        <w:szCs w:val="22"/>
        <w:u w:val="none"/>
        <w:shd w:fill="auto" w:val="clear"/>
        <w:vertAlign w:val="baseline"/>
        <w:rtl w:val="0"/>
      </w:rPr>
      <w:t xml:space="preserve">Project Version: v1.0</w:t>
      <w:tab/>
      <w:tab/>
      <w:tab/>
      <w:t xml:space="preserve"> </w:t>
    </w:r>
    <w:r w:rsidDel="00000000" w:rsidR="00000000" w:rsidRPr="00000000">
      <w:rPr>
        <w:rFonts w:ascii="Calibri" w:cs="Calibri" w:eastAsia="Calibri" w:hAnsi="Calibri"/>
        <w:b w:val="0"/>
        <w:i w:val="0"/>
        <w:smallCaps w:val="0"/>
        <w:strike w:val="0"/>
        <w:color w:val="bfbfbf"/>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A0">
    <w:pPr>
      <w:spacing w:after="0" w:lineRule="auto"/>
      <w:rPr>
        <w:rFonts w:ascii="Arial" w:cs="Arial" w:eastAsia="Arial" w:hAnsi="Arial"/>
        <w:color w:val="bfbfbf"/>
        <w:sz w:val="20"/>
        <w:szCs w:val="20"/>
      </w:rPr>
    </w:pPr>
    <w:r w:rsidDel="00000000" w:rsidR="00000000" w:rsidRPr="00000000">
      <w:rPr>
        <w:color w:val="bfbfbf"/>
        <w:rtl w:val="0"/>
      </w:rPr>
      <w:t xml:space="preserve">Model Version : v3.0</w:t>
      <w:tab/>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9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7 (Financial Difficulties)</w:t>
    </w:r>
    <w:r w:rsidDel="00000000" w:rsidR="00000000" w:rsidRPr="00000000">
      <w:rPr>
        <w:rtl w:val="0"/>
      </w:rPr>
    </w:r>
  </w:p>
  <w:p w:rsidR="00000000" w:rsidDel="00000000" w:rsidP="00000000" w:rsidRDefault="00000000" w:rsidRPr="00000000" w14:paraId="0000019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202</w:t>
    </w:r>
    <w:r w:rsidDel="00000000" w:rsidR="00000000" w:rsidRPr="00000000">
      <w:rPr>
        <w:rFonts w:ascii="Arial" w:cs="Arial" w:eastAsia="Arial" w:hAnsi="Arial"/>
        <w:sz w:val="20"/>
        <w:szCs w:val="20"/>
        <w:rtl w:val="0"/>
      </w:rPr>
      <w:t xml:space="preserve">2</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3">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paragraph" w:styleId="Heading1">
    <w:name w:val="heading 1"/>
    <w:basedOn w:val="Normal"/>
    <w:next w:val="Normal"/>
    <w:link w:val="Heading1Char"/>
    <w:rsid w:val="00A96D9C"/>
    <w:pPr>
      <w:keepNext w:val="1"/>
      <w:keepLines w:val="1"/>
      <w:spacing w:after="120" w:before="480"/>
      <w:outlineLvl w:val="0"/>
    </w:pPr>
    <w:rPr>
      <w:b w:val="1"/>
      <w:sz w:val="48"/>
      <w:szCs w:val="48"/>
      <w:lang w:eastAsia="en-GB"/>
    </w:rPr>
  </w:style>
  <w:style w:type="paragraph" w:styleId="Heading2">
    <w:name w:val="heading 2"/>
    <w:basedOn w:val="Normal"/>
    <w:next w:val="Normal"/>
    <w:link w:val="Heading2Char"/>
    <w:rsid w:val="00A96D9C"/>
    <w:pPr>
      <w:keepNext w:val="1"/>
      <w:keepLines w:val="1"/>
      <w:spacing w:after="80" w:before="360"/>
      <w:outlineLvl w:val="1"/>
    </w:pPr>
    <w:rPr>
      <w:b w:val="1"/>
      <w:sz w:val="36"/>
      <w:szCs w:val="36"/>
      <w:lang w:eastAsia="en-GB"/>
    </w:rPr>
  </w:style>
  <w:style w:type="paragraph" w:styleId="Heading3">
    <w:name w:val="heading 3"/>
    <w:basedOn w:val="Normal"/>
    <w:next w:val="Normal"/>
    <w:link w:val="Heading3Char"/>
    <w:rsid w:val="00A96D9C"/>
    <w:pPr>
      <w:keepNext w:val="1"/>
      <w:keepLines w:val="1"/>
      <w:spacing w:after="80" w:before="280"/>
      <w:outlineLvl w:val="2"/>
    </w:pPr>
    <w:rPr>
      <w:b w:val="1"/>
      <w:sz w:val="28"/>
      <w:szCs w:val="28"/>
      <w:lang w:eastAsia="en-GB"/>
    </w:rPr>
  </w:style>
  <w:style w:type="paragraph" w:styleId="Heading4">
    <w:name w:val="heading 4"/>
    <w:basedOn w:val="Normal"/>
    <w:next w:val="Normal"/>
    <w:link w:val="Heading4Char"/>
    <w:rsid w:val="00A96D9C"/>
    <w:pPr>
      <w:keepNext w:val="1"/>
      <w:keepLines w:val="1"/>
      <w:spacing w:after="40" w:before="240"/>
      <w:outlineLvl w:val="3"/>
    </w:pPr>
    <w:rPr>
      <w:b w:val="1"/>
      <w:sz w:val="24"/>
      <w:szCs w:val="24"/>
      <w:lang w:eastAsia="en-GB"/>
    </w:rPr>
  </w:style>
  <w:style w:type="paragraph" w:styleId="Heading5">
    <w:name w:val="heading 5"/>
    <w:basedOn w:val="Normal"/>
    <w:next w:val="Normal"/>
    <w:link w:val="Heading5Char"/>
    <w:rsid w:val="00A96D9C"/>
    <w:pPr>
      <w:keepNext w:val="1"/>
      <w:keepLines w:val="1"/>
      <w:spacing w:after="40" w:before="220"/>
      <w:outlineLvl w:val="4"/>
    </w:pPr>
    <w:rPr>
      <w:b w:val="1"/>
      <w:lang w:eastAsia="en-GB"/>
    </w:rPr>
  </w:style>
  <w:style w:type="paragraph" w:styleId="Heading6">
    <w:name w:val="heading 6"/>
    <w:basedOn w:val="Normal"/>
    <w:next w:val="Normal"/>
    <w:link w:val="Heading6Char"/>
    <w:rsid w:val="00A96D9C"/>
    <w:pPr>
      <w:keepNext w:val="1"/>
      <w:keepLines w:val="1"/>
      <w:spacing w:after="40" w:before="200"/>
      <w:outlineLvl w:val="5"/>
    </w:pPr>
    <w:rPr>
      <w:b w:val="1"/>
      <w:sz w:val="20"/>
      <w:szCs w:val="20"/>
      <w:lang w:eastAsia="en-GB"/>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rsid w:val="00A96D9C"/>
    <w:pPr>
      <w:numPr>
        <w:numId w:val="2"/>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rsid w:val="00A96D9C"/>
    <w:pPr>
      <w:numPr>
        <w:ilvl w:val="2"/>
        <w:numId w:val="2"/>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rsid w:val="00A96D9C"/>
    <w:pPr>
      <w:numPr>
        <w:ilvl w:val="3"/>
      </w:numPr>
      <w:tabs>
        <w:tab w:val="clear" w:pos="1985"/>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rsid w:val="00A96D9C"/>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Definition" w:customStyle="1">
    <w:name w:val="GPs Definition"/>
    <w:basedOn w:val="Normal"/>
    <w:qFormat w:val="1"/>
    <w:rsid w:val="00A96D9C"/>
    <w:pPr>
      <w:numPr>
        <w:numId w:val="1"/>
      </w:numPr>
      <w:tabs>
        <w:tab w:val="left" w:pos="175"/>
      </w:tabs>
      <w:spacing w:after="120"/>
    </w:pPr>
  </w:style>
  <w:style w:type="paragraph" w:styleId="GPSDefinitionL2" w:customStyle="1">
    <w:name w:val="GPS Definition L2"/>
    <w:basedOn w:val="GPsDefinition"/>
    <w:qFormat w:val="1"/>
    <w:pPr>
      <w:numPr>
        <w:ilvl w:val="1"/>
      </w:numPr>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outlineLvl w:val="9"/>
    </w:p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L3Indent" w:customStyle="1">
    <w:name w:val="GPS L3 Indent"/>
    <w:basedOn w:val="Normal"/>
    <w:link w:val="GPSL3IndentChar"/>
    <w:pPr>
      <w:overflowPunct w:val="1"/>
      <w:autoSpaceDE w:val="1"/>
      <w:autoSpaceDN w:val="1"/>
      <w:spacing w:after="120" w:before="120"/>
      <w:ind w:left="1985"/>
      <w:textAlignment w:val="auto"/>
    </w:pPr>
    <w:rPr>
      <w:lang w:eastAsia="zh-CN" w:val="en-US"/>
    </w:rPr>
  </w:style>
  <w:style w:type="paragraph" w:styleId="GPSmacrorestart" w:customStyle="1">
    <w:name w:val="GPS macro restart"/>
    <w:basedOn w:val="Normal"/>
    <w:qFormat w:val="1"/>
    <w:pPr>
      <w:spacing w:after="0"/>
    </w:pPr>
    <w:rPr>
      <w:color w:val="ffffff"/>
      <w:sz w:val="16"/>
      <w:szCs w:val="16"/>
    </w:rPr>
  </w:style>
  <w:style w:type="paragraph" w:styleId="GPSSchAnnexname" w:customStyle="1">
    <w:name w:val="GPS Sch Annex name"/>
    <w:basedOn w:val="Normal"/>
    <w:link w:val="GPSSchAnnexnameChar"/>
    <w:qFormat w:val="1"/>
    <w:pPr>
      <w:keepNext w:val="1"/>
      <w:overflowPunct w:val="1"/>
      <w:autoSpaceDE w:val="1"/>
      <w:autoSpaceDN w:val="1"/>
      <w:ind w:firstLine="426"/>
      <w:jc w:val="center"/>
      <w:textAlignment w:val="auto"/>
      <w:outlineLvl w:val="1"/>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rsid w:val="00A96D9C"/>
    <w:pPr>
      <w:tabs>
        <w:tab w:val="clear" w:pos="1134"/>
      </w:tabs>
      <w:ind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3IndentChar" w:customStyle="1">
    <w:name w:val="GPS L3 Indent Char"/>
    <w:link w:val="GPSL3Indent"/>
    <w:locked w:val="1"/>
    <w:rPr>
      <w:rFonts w:ascii="Calibri" w:cs="Arial" w:eastAsia="Times New Roman" w:hAnsi="Calibri"/>
      <w:lang w:eastAsia="zh-CN" w:val="en-US"/>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2IndentChar" w:customStyle="1">
    <w:name w:val="GPS L2 Indent Char"/>
    <w:link w:val="GPSL2Indent"/>
    <w:rPr>
      <w:rFonts w:ascii="Calibri" w:cs="Arial" w:eastAsia="Times New Roman" w:hAnsi="Calibri"/>
      <w:szCs w:val="24"/>
    </w:rPr>
  </w:style>
  <w:style w:type="character" w:styleId="GPSSchAnnexnameChar" w:customStyle="1">
    <w:name w:val="GPS Sch Annex name Char"/>
    <w:link w:val="GPSSchAnnexname"/>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character" w:styleId="Hyperlink">
    <w:name w:val="Hyperlink"/>
    <w:basedOn w:val="DefaultParagraphFont"/>
    <w:uiPriority w:val="99"/>
    <w:semiHidden w:val="1"/>
    <w:unhideWhenUsed w:val="1"/>
    <w:rPr>
      <w:color w:val="0000ff"/>
      <w:u w:val="single"/>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line="240" w:lineRule="auto"/>
    </w:pPr>
    <w:rPr>
      <w:rFonts w:ascii="Calibri" w:cs="Arial" w:eastAsia="Times New Roman" w:hAnsi="Calibri"/>
    </w:rPr>
  </w:style>
  <w:style w:type="paragraph" w:styleId="StdBodyText" w:customStyle="1">
    <w:name w:val="Std Body Text"/>
    <w:basedOn w:val="Normal"/>
    <w:qFormat w:val="1"/>
    <w:rsid w:val="00106E9B"/>
    <w:pPr>
      <w:overflowPunct w:val="1"/>
      <w:autoSpaceDE w:val="1"/>
      <w:autoSpaceDN w:val="1"/>
      <w:adjustRightInd w:val="1"/>
      <w:spacing w:after="200" w:before="100"/>
      <w:jc w:val="left"/>
      <w:textAlignment w:val="auto"/>
    </w:pPr>
    <w:rPr>
      <w:rFonts w:ascii="Arial" w:cs="Times New Roman" w:hAnsi="Arial"/>
      <w:sz w:val="24"/>
      <w:szCs w:val="24"/>
      <w:lang w:eastAsia="en-GB"/>
    </w:rPr>
  </w:style>
  <w:style w:type="paragraph" w:styleId="StdBodyTextBold" w:customStyle="1">
    <w:name w:val="Std Body Text Bold"/>
    <w:basedOn w:val="Normal"/>
    <w:next w:val="StdBodyText"/>
    <w:link w:val="StdBodyTextBoldChar"/>
    <w:qFormat w:val="1"/>
    <w:rsid w:val="00106E9B"/>
    <w:pPr>
      <w:overflowPunct w:val="1"/>
      <w:autoSpaceDE w:val="1"/>
      <w:autoSpaceDN w:val="1"/>
      <w:adjustRightInd w:val="1"/>
      <w:spacing w:after="200" w:before="100"/>
      <w:jc w:val="left"/>
      <w:textAlignment w:val="auto"/>
    </w:pPr>
    <w:rPr>
      <w:rFonts w:ascii="Arial" w:cs="Times New Roman" w:hAnsi="Arial"/>
      <w:b w:val="1"/>
      <w:sz w:val="24"/>
      <w:szCs w:val="24"/>
      <w:lang w:eastAsia="en-GB"/>
    </w:rPr>
  </w:style>
  <w:style w:type="character" w:styleId="StdBodyTextBoldChar" w:customStyle="1">
    <w:name w:val="Std Body Text Bold Char"/>
    <w:basedOn w:val="DefaultParagraphFont"/>
    <w:link w:val="StdBodyTextBold"/>
    <w:rsid w:val="00106E9B"/>
    <w:rPr>
      <w:rFonts w:ascii="Arial" w:cs="Times New Roman" w:eastAsia="Times New Roman" w:hAnsi="Arial"/>
      <w:b w:val="1"/>
      <w:sz w:val="24"/>
      <w:szCs w:val="24"/>
      <w:lang w:eastAsia="en-GB"/>
    </w:rPr>
  </w:style>
  <w:style w:type="paragraph" w:styleId="StdBodyText1" w:customStyle="1">
    <w:name w:val="Std Body Text 1"/>
    <w:basedOn w:val="StdBodyText"/>
    <w:rsid w:val="005F1595"/>
    <w:pPr>
      <w:ind w:left="720"/>
    </w:pPr>
  </w:style>
  <w:style w:type="paragraph" w:styleId="AnnexHeading" w:customStyle="1">
    <w:name w:val="Annex Heading"/>
    <w:basedOn w:val="Normal"/>
    <w:next w:val="Normal"/>
    <w:rsid w:val="006B02AC"/>
    <w:pPr>
      <w:numPr>
        <w:numId w:val="3"/>
      </w:numPr>
      <w:overflowPunct w:val="1"/>
      <w:autoSpaceDE w:val="1"/>
      <w:autoSpaceDN w:val="1"/>
      <w:adjustRightInd w:val="1"/>
      <w:spacing w:after="300" w:before="100"/>
      <w:jc w:val="center"/>
      <w:textAlignment w:val="auto"/>
    </w:pPr>
    <w:rPr>
      <w:rFonts w:ascii="Arial Bold" w:cs="Times New Roman" w:hAnsi="Arial Bold"/>
      <w:b w:val="1"/>
      <w:caps w:val="1"/>
      <w:sz w:val="24"/>
      <w:szCs w:val="24"/>
      <w:lang w:eastAsia="en-GB"/>
    </w:rPr>
  </w:style>
  <w:style w:type="paragraph" w:styleId="AppendixText1" w:customStyle="1">
    <w:name w:val="Appendix Text 1"/>
    <w:basedOn w:val="Normal"/>
    <w:next w:val="StdBodyText1"/>
    <w:rsid w:val="006B02AC"/>
    <w:pPr>
      <w:numPr>
        <w:numId w:val="4"/>
      </w:numPr>
      <w:overflowPunct w:val="1"/>
      <w:autoSpaceDE w:val="1"/>
      <w:autoSpaceDN w:val="1"/>
      <w:adjustRightInd w:val="1"/>
      <w:spacing w:after="200" w:before="100"/>
      <w:jc w:val="left"/>
      <w:textAlignment w:val="auto"/>
    </w:pPr>
    <w:rPr>
      <w:rFonts w:ascii="Arial" w:cs="Times New Roman" w:hAnsi="Arial"/>
      <w:b w:val="1"/>
      <w:sz w:val="24"/>
      <w:szCs w:val="24"/>
      <w:lang w:eastAsia="en-GB"/>
    </w:rPr>
  </w:style>
  <w:style w:type="paragraph" w:styleId="AppendixText2" w:customStyle="1">
    <w:name w:val="Appendix Text 2"/>
    <w:basedOn w:val="AppendixText1"/>
    <w:next w:val="Normal"/>
    <w:rsid w:val="006B02AC"/>
    <w:pPr>
      <w:numPr>
        <w:ilvl w:val="1"/>
      </w:numPr>
    </w:pPr>
    <w:rPr>
      <w:b w:val="0"/>
    </w:rPr>
  </w:style>
  <w:style w:type="paragraph" w:styleId="AppendixText3" w:customStyle="1">
    <w:name w:val="Appendix Text 3"/>
    <w:basedOn w:val="Normal"/>
    <w:next w:val="Normal"/>
    <w:rsid w:val="006B02AC"/>
    <w:pPr>
      <w:numPr>
        <w:ilvl w:val="2"/>
        <w:numId w:val="4"/>
      </w:numPr>
      <w:tabs>
        <w:tab w:val="left" w:pos="720"/>
        <w:tab w:val="left" w:pos="1803"/>
      </w:tabs>
      <w:overflowPunct w:val="1"/>
      <w:autoSpaceDE w:val="1"/>
      <w:autoSpaceDN w:val="1"/>
      <w:adjustRightInd w:val="1"/>
      <w:spacing w:after="200" w:before="100"/>
      <w:jc w:val="left"/>
      <w:textAlignment w:val="auto"/>
    </w:pPr>
    <w:rPr>
      <w:rFonts w:ascii="Arial" w:cs="Times New Roman" w:hAnsi="Arial"/>
      <w:sz w:val="24"/>
      <w:szCs w:val="24"/>
      <w:lang w:eastAsia="en-GB"/>
    </w:rPr>
  </w:style>
  <w:style w:type="paragraph" w:styleId="AppendixText4" w:customStyle="1">
    <w:name w:val="Appendix Text 4"/>
    <w:basedOn w:val="Normal"/>
    <w:next w:val="Normal"/>
    <w:rsid w:val="006B02AC"/>
    <w:pPr>
      <w:numPr>
        <w:ilvl w:val="3"/>
        <w:numId w:val="4"/>
      </w:numPr>
      <w:tabs>
        <w:tab w:val="left" w:pos="720"/>
        <w:tab w:val="left" w:pos="1803"/>
      </w:tabs>
      <w:overflowPunct w:val="1"/>
      <w:autoSpaceDE w:val="1"/>
      <w:autoSpaceDN w:val="1"/>
      <w:adjustRightInd w:val="1"/>
      <w:spacing w:after="200" w:before="100"/>
      <w:jc w:val="left"/>
      <w:textAlignment w:val="auto"/>
    </w:pPr>
    <w:rPr>
      <w:rFonts w:ascii="Arial" w:cs="Times New Roman" w:hAnsi="Arial"/>
      <w:sz w:val="24"/>
      <w:szCs w:val="24"/>
      <w:lang w:eastAsia="en-GB"/>
    </w:rPr>
  </w:style>
  <w:style w:type="paragraph" w:styleId="AppendixText5" w:customStyle="1">
    <w:name w:val="Appendix Text 5"/>
    <w:basedOn w:val="Normal"/>
    <w:next w:val="Normal"/>
    <w:rsid w:val="006B02AC"/>
    <w:pPr>
      <w:numPr>
        <w:ilvl w:val="4"/>
        <w:numId w:val="4"/>
      </w:numPr>
      <w:tabs>
        <w:tab w:val="left" w:pos="720"/>
        <w:tab w:val="left" w:pos="2523"/>
      </w:tabs>
      <w:overflowPunct w:val="1"/>
      <w:autoSpaceDE w:val="1"/>
      <w:autoSpaceDN w:val="1"/>
      <w:adjustRightInd w:val="1"/>
      <w:spacing w:after="200" w:before="100"/>
      <w:jc w:val="left"/>
      <w:textAlignment w:val="auto"/>
    </w:pPr>
    <w:rPr>
      <w:rFonts w:ascii="Arial" w:cs="Times New Roman" w:hAnsi="Arial"/>
      <w:sz w:val="24"/>
      <w:szCs w:val="24"/>
      <w:lang w:eastAsia="en-GB"/>
    </w:rPr>
  </w:style>
  <w:style w:type="paragraph" w:styleId="AppendixText6" w:customStyle="1">
    <w:name w:val="Appendix Text 6"/>
    <w:basedOn w:val="AppendixText5"/>
    <w:rsid w:val="006B02AC"/>
    <w:pPr>
      <w:numPr>
        <w:ilvl w:val="5"/>
      </w:numPr>
    </w:pPr>
  </w:style>
  <w:style w:type="numbering" w:styleId="Level" w:customStyle="1">
    <w:name w:val="Level"/>
    <w:uiPriority w:val="99"/>
    <w:rsid w:val="0034142A"/>
    <w:pPr>
      <w:numPr>
        <w:numId w:val="6"/>
      </w:numPr>
    </w:pPr>
  </w:style>
  <w:style w:type="numbering" w:styleId="Scheduleheading" w:customStyle="1">
    <w:name w:val="Schedule heading"/>
    <w:uiPriority w:val="99"/>
    <w:rsid w:val="0034142A"/>
    <w:pPr>
      <w:numPr>
        <w:numId w:val="7"/>
      </w:numPr>
    </w:pPr>
  </w:style>
  <w:style w:type="paragraph" w:styleId="StdBodyText4" w:customStyle="1">
    <w:name w:val="Std Body Text 4"/>
    <w:basedOn w:val="Normal"/>
    <w:rsid w:val="0034142A"/>
    <w:pPr>
      <w:overflowPunct w:val="1"/>
      <w:autoSpaceDE w:val="1"/>
      <w:autoSpaceDN w:val="1"/>
      <w:adjustRightInd w:val="1"/>
      <w:spacing w:after="200" w:before="100"/>
      <w:ind w:left="1803"/>
      <w:jc w:val="left"/>
      <w:textAlignment w:val="auto"/>
    </w:pPr>
    <w:rPr>
      <w:rFonts w:ascii="Arial" w:cs="Times New Roman" w:hAnsi="Arial"/>
      <w:sz w:val="24"/>
      <w:szCs w:val="24"/>
      <w:lang w:eastAsia="en-GB"/>
    </w:rPr>
  </w:style>
  <w:style w:type="character" w:styleId="Heading1Char" w:customStyle="1">
    <w:name w:val="Heading 1 Char"/>
    <w:basedOn w:val="DefaultParagraphFont"/>
    <w:link w:val="Heading1"/>
    <w:rsid w:val="00A96D9C"/>
    <w:rPr>
      <w:rFonts w:ascii="Calibri" w:cs="Arial" w:eastAsia="Times New Roman" w:hAnsi="Calibri"/>
      <w:b w:val="1"/>
      <w:sz w:val="48"/>
      <w:szCs w:val="48"/>
      <w:lang w:eastAsia="en-GB"/>
    </w:rPr>
  </w:style>
  <w:style w:type="character" w:styleId="Heading2Char" w:customStyle="1">
    <w:name w:val="Heading 2 Char"/>
    <w:basedOn w:val="DefaultParagraphFont"/>
    <w:link w:val="Heading2"/>
    <w:rsid w:val="00A96D9C"/>
    <w:rPr>
      <w:rFonts w:ascii="Calibri" w:cs="Arial" w:eastAsia="Times New Roman" w:hAnsi="Calibri"/>
      <w:b w:val="1"/>
      <w:sz w:val="36"/>
      <w:szCs w:val="36"/>
      <w:lang w:eastAsia="en-GB"/>
    </w:rPr>
  </w:style>
  <w:style w:type="character" w:styleId="Heading3Char" w:customStyle="1">
    <w:name w:val="Heading 3 Char"/>
    <w:basedOn w:val="DefaultParagraphFont"/>
    <w:link w:val="Heading3"/>
    <w:rsid w:val="00A96D9C"/>
    <w:rPr>
      <w:rFonts w:ascii="Calibri" w:cs="Arial" w:eastAsia="Times New Roman" w:hAnsi="Calibri"/>
      <w:b w:val="1"/>
      <w:sz w:val="28"/>
      <w:szCs w:val="28"/>
      <w:lang w:eastAsia="en-GB"/>
    </w:rPr>
  </w:style>
  <w:style w:type="character" w:styleId="Heading4Char" w:customStyle="1">
    <w:name w:val="Heading 4 Char"/>
    <w:basedOn w:val="DefaultParagraphFont"/>
    <w:link w:val="Heading4"/>
    <w:rsid w:val="00A96D9C"/>
    <w:rPr>
      <w:rFonts w:ascii="Calibri" w:cs="Arial" w:eastAsia="Times New Roman" w:hAnsi="Calibri"/>
      <w:b w:val="1"/>
      <w:sz w:val="24"/>
      <w:szCs w:val="24"/>
      <w:lang w:eastAsia="en-GB"/>
    </w:rPr>
  </w:style>
  <w:style w:type="character" w:styleId="Heading5Char" w:customStyle="1">
    <w:name w:val="Heading 5 Char"/>
    <w:basedOn w:val="DefaultParagraphFont"/>
    <w:link w:val="Heading5"/>
    <w:rsid w:val="00A96D9C"/>
    <w:rPr>
      <w:rFonts w:ascii="Calibri" w:cs="Arial" w:eastAsia="Times New Roman" w:hAnsi="Calibri"/>
      <w:b w:val="1"/>
      <w:lang w:eastAsia="en-GB"/>
    </w:rPr>
  </w:style>
  <w:style w:type="character" w:styleId="Heading6Char" w:customStyle="1">
    <w:name w:val="Heading 6 Char"/>
    <w:basedOn w:val="DefaultParagraphFont"/>
    <w:link w:val="Heading6"/>
    <w:rsid w:val="00A96D9C"/>
    <w:rPr>
      <w:rFonts w:ascii="Calibri" w:cs="Arial" w:eastAsia="Times New Roman" w:hAnsi="Calibri"/>
      <w:b w:val="1"/>
      <w:sz w:val="20"/>
      <w:szCs w:val="20"/>
      <w:lang w:eastAsia="en-GB"/>
    </w:rPr>
  </w:style>
  <w:style w:type="paragraph" w:styleId="Title">
    <w:name w:val="Title"/>
    <w:basedOn w:val="Normal"/>
    <w:next w:val="Normal"/>
    <w:link w:val="TitleChar"/>
    <w:rsid w:val="00A96D9C"/>
    <w:pPr>
      <w:keepNext w:val="1"/>
      <w:keepLines w:val="1"/>
      <w:spacing w:after="120" w:before="480"/>
    </w:pPr>
    <w:rPr>
      <w:b w:val="1"/>
      <w:sz w:val="72"/>
      <w:szCs w:val="72"/>
      <w:lang w:eastAsia="en-GB"/>
    </w:rPr>
  </w:style>
  <w:style w:type="character" w:styleId="TitleChar" w:customStyle="1">
    <w:name w:val="Title Char"/>
    <w:basedOn w:val="DefaultParagraphFont"/>
    <w:link w:val="Title"/>
    <w:rsid w:val="00A96D9C"/>
    <w:rPr>
      <w:rFonts w:ascii="Calibri" w:cs="Arial" w:eastAsia="Times New Roman" w:hAnsi="Calibri"/>
      <w:b w:val="1"/>
      <w:sz w:val="72"/>
      <w:szCs w:val="72"/>
      <w:lang w:eastAsia="en-GB"/>
    </w:rPr>
  </w:style>
  <w:style w:type="paragraph" w:styleId="Subtitle">
    <w:name w:val="Subtitle"/>
    <w:basedOn w:val="Normal"/>
    <w:next w:val="Normal"/>
    <w:link w:val="SubtitleChar"/>
    <w:rsid w:val="00A96D9C"/>
    <w:pPr>
      <w:keepNext w:val="1"/>
      <w:keepLines w:val="1"/>
      <w:spacing w:after="80" w:before="360"/>
    </w:pPr>
    <w:rPr>
      <w:rFonts w:ascii="Georgia" w:cs="Georgia" w:eastAsia="Georgia" w:hAnsi="Georgia"/>
      <w:i w:val="1"/>
      <w:color w:val="666666"/>
      <w:sz w:val="48"/>
      <w:szCs w:val="48"/>
      <w:lang w:eastAsia="en-GB"/>
    </w:rPr>
  </w:style>
  <w:style w:type="character" w:styleId="SubtitleChar" w:customStyle="1">
    <w:name w:val="Subtitle Char"/>
    <w:basedOn w:val="DefaultParagraphFont"/>
    <w:link w:val="Subtitle"/>
    <w:rsid w:val="00A96D9C"/>
    <w:rPr>
      <w:rFonts w:ascii="Georgia" w:cs="Georgia" w:eastAsia="Georgia" w:hAnsi="Georgia"/>
      <w:i w:val="1"/>
      <w:color w:val="666666"/>
      <w:sz w:val="48"/>
      <w:szCs w:val="48"/>
      <w:lang w:eastAsia="en-GB"/>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4">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6">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7">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strategic-suppliers"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SBMdczHsxE8CWrYpQNsH6aeCecA==">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2022-08-05T14:22:00Z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